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27"/>
        <w:ind w:left="0" w:firstLine="708"/>
        <w:jc w:val="both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  <w:r>
        <w:rPr>
          <w:sz w:val="18"/>
          <w:szCs w:val="18"/>
        </w:rPr>
        <w:t xml:space="preserve">                  </w:t>
      </w:r>
      <w:r>
        <w:rPr>
          <w:sz w:val="18"/>
          <w:szCs w:val="18"/>
        </w:rPr>
      </w:r>
      <w:r/>
    </w:p>
    <w:p>
      <w:pPr>
        <w:pStyle w:val="927"/>
        <w:ind w:left="0" w:firstLine="708"/>
        <w:jc w:val="left"/>
        <w:spacing w:after="0" w:line="240" w:lineRule="auto"/>
      </w:pPr>
      <w:r>
        <w:rPr>
          <w:sz w:val="18"/>
          <w:szCs w:val="18"/>
        </w:rPr>
        <w:t xml:space="preserve">                                                                                                                      </w:t>
      </w:r>
      <w:r>
        <w:rPr>
          <w:sz w:val="18"/>
          <w:szCs w:val="18"/>
        </w:rPr>
        <w:t xml:space="preserve">  </w:t>
      </w:r>
      <w:r>
        <w:t xml:space="preserve">ПОЯСНИТЕЛЬНАЯ ЗАПИСКА</w:t>
      </w:r>
      <w:r/>
    </w:p>
    <w:p>
      <w:pPr>
        <w:pStyle w:val="918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к</w:t>
      </w:r>
      <w:r>
        <w:rPr>
          <w:sz w:val="28"/>
          <w:szCs w:val="28"/>
        </w:rPr>
        <w:t xml:space="preserve"> проекту решения Совета депутатов Колыванского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внесении изменений в бюджет Колыванского района</w:t>
      </w:r>
      <w:r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22</w:t>
      </w:r>
      <w:r>
        <w:rPr>
          <w:sz w:val="28"/>
          <w:szCs w:val="28"/>
        </w:rPr>
        <w:t xml:space="preserve">.12.20</w:t>
      </w:r>
      <w:r>
        <w:rPr>
          <w:sz w:val="28"/>
          <w:szCs w:val="28"/>
        </w:rPr>
        <w:t xml:space="preserve">23</w:t>
      </w:r>
      <w:r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в ию</w:t>
      </w:r>
      <w:r>
        <w:rPr>
          <w:sz w:val="28"/>
          <w:szCs w:val="28"/>
        </w:rPr>
        <w:t xml:space="preserve">ле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года.</w:t>
      </w:r>
      <w:r>
        <w:rPr>
          <w:sz w:val="28"/>
          <w:szCs w:val="28"/>
        </w:rPr>
      </w:r>
      <w:r/>
    </w:p>
    <w:p>
      <w:pPr>
        <w:pStyle w:val="918"/>
        <w:jc w:val="both"/>
        <w:tabs>
          <w:tab w:val="left" w:pos="7995" w:leader="none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 решения  Совета депутатов Колыванского района Новосибирской области</w:t>
      </w:r>
      <w:r>
        <w:rPr>
          <w:sz w:val="28"/>
          <w:szCs w:val="28"/>
        </w:rPr>
        <w:t xml:space="preserve"> о внесении изменений в бюджет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 2</w:t>
      </w:r>
      <w:r>
        <w:rPr>
          <w:sz w:val="28"/>
          <w:szCs w:val="28"/>
        </w:rPr>
        <w:t xml:space="preserve">2 декабря 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3 года №</w:t>
      </w:r>
      <w:r>
        <w:rPr>
          <w:sz w:val="28"/>
          <w:szCs w:val="28"/>
        </w:rPr>
        <w:t xml:space="preserve"> 279 </w:t>
      </w:r>
      <w:r>
        <w:rPr>
          <w:sz w:val="28"/>
          <w:szCs w:val="28"/>
        </w:rPr>
        <w:t xml:space="preserve"> «О бюджете Колыванского района на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4 год и плановый период 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5-20</w:t>
      </w:r>
      <w:r>
        <w:rPr>
          <w:sz w:val="28"/>
          <w:szCs w:val="28"/>
        </w:rPr>
        <w:t xml:space="preserve">2</w:t>
      </w:r>
      <w:r>
        <w:rPr>
          <w:sz w:val="28"/>
          <w:szCs w:val="28"/>
        </w:rPr>
        <w:t xml:space="preserve">6 годов»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вносится для рассмотрения </w:t>
      </w:r>
      <w:r>
        <w:rPr>
          <w:sz w:val="28"/>
          <w:szCs w:val="28"/>
        </w:rPr>
        <w:t xml:space="preserve"> и утверждения </w:t>
      </w:r>
      <w:r>
        <w:rPr>
          <w:sz w:val="28"/>
          <w:szCs w:val="28"/>
        </w:rPr>
        <w:t xml:space="preserve">в  Совет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 xml:space="preserve"> в соответствии со статьей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42 </w:t>
      </w:r>
      <w:r>
        <w:rPr>
          <w:sz w:val="28"/>
          <w:szCs w:val="28"/>
        </w:rPr>
        <w:t xml:space="preserve"> Положения «О бюджетном процессе в муниципальном образовании Колыванск</w:t>
      </w:r>
      <w:r>
        <w:rPr>
          <w:sz w:val="28"/>
          <w:szCs w:val="28"/>
        </w:rPr>
        <w:t xml:space="preserve">ий </w:t>
      </w:r>
      <w:r>
        <w:rPr>
          <w:sz w:val="28"/>
          <w:szCs w:val="28"/>
        </w:rPr>
        <w:t xml:space="preserve"> район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/>
    </w:p>
    <w:p>
      <w:pPr>
        <w:pStyle w:val="926"/>
        <w:rPr>
          <w:sz w:val="28"/>
          <w:szCs w:val="28"/>
        </w:rPr>
      </w:pPr>
      <w:r>
        <w:rPr>
          <w:sz w:val="28"/>
          <w:szCs w:val="28"/>
        </w:rPr>
        <w:t xml:space="preserve">Разработка данного </w:t>
      </w:r>
      <w:r>
        <w:rPr>
          <w:sz w:val="28"/>
          <w:szCs w:val="28"/>
        </w:rPr>
        <w:t xml:space="preserve">проекта решения </w:t>
      </w:r>
      <w:r>
        <w:rPr>
          <w:sz w:val="28"/>
          <w:szCs w:val="28"/>
        </w:rPr>
        <w:t xml:space="preserve"> обусловлена</w:t>
      </w:r>
      <w:r>
        <w:rPr>
          <w:sz w:val="28"/>
          <w:szCs w:val="28"/>
        </w:rPr>
        <w:t xml:space="preserve"> необходимостью внесения изменений  в части приведения в соответствие ранее принятого решения </w:t>
      </w:r>
      <w:r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овета депутатов</w:t>
      </w:r>
      <w:r>
        <w:rPr>
          <w:sz w:val="28"/>
          <w:szCs w:val="28"/>
        </w:rPr>
        <w:t xml:space="preserve"> Колыванского района </w:t>
      </w:r>
      <w:r>
        <w:rPr>
          <w:sz w:val="28"/>
          <w:szCs w:val="28"/>
        </w:rPr>
        <w:t xml:space="preserve">Новосибирской области</w:t>
      </w:r>
      <w:r>
        <w:rPr>
          <w:sz w:val="28"/>
          <w:szCs w:val="28"/>
        </w:rPr>
        <w:t xml:space="preserve">   нормам бюджетного законодательства, а именно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уточнение </w:t>
      </w:r>
      <w:r>
        <w:rPr>
          <w:sz w:val="28"/>
          <w:szCs w:val="28"/>
        </w:rPr>
        <w:t xml:space="preserve">доходной, </w:t>
      </w:r>
      <w:r>
        <w:rPr>
          <w:sz w:val="28"/>
          <w:szCs w:val="28"/>
        </w:rPr>
        <w:t xml:space="preserve">расходной части и источников дефицита  бюджета</w:t>
      </w:r>
      <w:r>
        <w:rPr>
          <w:sz w:val="28"/>
          <w:szCs w:val="28"/>
        </w:rPr>
        <w:t xml:space="preserve"> Колыванского района</w:t>
      </w:r>
      <w:r>
        <w:rPr>
          <w:sz w:val="28"/>
          <w:szCs w:val="28"/>
        </w:rPr>
        <w:t xml:space="preserve"> Новосибирской области</w:t>
      </w:r>
      <w:r>
        <w:rPr>
          <w:sz w:val="28"/>
          <w:szCs w:val="28"/>
        </w:rPr>
        <w:t xml:space="preserve"> .</w:t>
      </w:r>
      <w:r>
        <w:rPr>
          <w:sz w:val="28"/>
          <w:szCs w:val="28"/>
        </w:rPr>
      </w:r>
      <w:r/>
    </w:p>
    <w:p>
      <w:pPr>
        <w:pStyle w:val="926"/>
        <w:rPr>
          <w:sz w:val="28"/>
          <w:szCs w:val="28"/>
        </w:rPr>
      </w:pPr>
      <w:r>
        <w:rPr>
          <w:sz w:val="28"/>
          <w:szCs w:val="28"/>
        </w:rPr>
        <w:t xml:space="preserve">Внесение изменений </w:t>
      </w:r>
      <w:r>
        <w:rPr>
          <w:sz w:val="28"/>
          <w:szCs w:val="28"/>
        </w:rPr>
        <w:t xml:space="preserve">в доходную часть бюджета связан</w:t>
      </w:r>
      <w:r>
        <w:rPr>
          <w:sz w:val="28"/>
          <w:szCs w:val="28"/>
        </w:rPr>
        <w:t xml:space="preserve">н</w:t>
      </w:r>
      <w:r>
        <w:rPr>
          <w:sz w:val="28"/>
          <w:szCs w:val="28"/>
        </w:rPr>
        <w:t xml:space="preserve">ых</w:t>
      </w:r>
      <w:r>
        <w:rPr>
          <w:sz w:val="28"/>
          <w:szCs w:val="28"/>
        </w:rPr>
        <w:t xml:space="preserve"> с увеличением план</w:t>
      </w:r>
      <w:r>
        <w:rPr>
          <w:sz w:val="28"/>
          <w:szCs w:val="28"/>
        </w:rPr>
        <w:t xml:space="preserve">овых назначений по собственным доходам и безвозмездным поступлениям в соответствии с решением вышестоящего уровня государственной власти Новосибирской области  в части безвозмездных поступлений в бюджет Колыванского района НСО, в том числе: 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yellow"/>
        </w:rPr>
      </w:pPr>
      <w:r>
        <w:rPr>
          <w:sz w:val="28"/>
          <w:szCs w:val="28"/>
        </w:rPr>
        <w:t xml:space="preserve"> В части собственных доходов  на сумму </w:t>
      </w:r>
      <w:r>
        <w:rPr>
          <w:sz w:val="28"/>
          <w:szCs w:val="28"/>
          <w:highlight w:val="none"/>
        </w:rPr>
        <w:t xml:space="preserve">20 517,4</w:t>
      </w:r>
      <w:r>
        <w:rPr>
          <w:sz w:val="28"/>
          <w:szCs w:val="28"/>
        </w:rPr>
        <w:t xml:space="preserve"> тысяч рублей ,  (в том числе увеличение по НДФЛ -14917,4 тысяч рублей, патент-1600,0 тысяч рублей, неналоговые доходы- 4000,0 тысяч рублей)  </w:t>
      </w:r>
      <w:r>
        <w:rPr>
          <w:highlight w:val="yellow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</w:t>
      </w:r>
      <w:r>
        <w:rPr>
          <w:sz w:val="28"/>
          <w:szCs w:val="28"/>
          <w:highlight w:val="none"/>
        </w:rPr>
        <w:t xml:space="preserve">Изменения по безвозмездным поступлениям: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-субвенции </w:t>
      </w:r>
      <w:r>
        <w:rPr>
          <w:sz w:val="28"/>
          <w:szCs w:val="28"/>
          <w:highlight w:val="none"/>
        </w:rPr>
        <w:t xml:space="preserve"> увеличились  на сумму 26056,3</w:t>
      </w:r>
      <w:r>
        <w:rPr>
          <w:sz w:val="28"/>
          <w:szCs w:val="28"/>
          <w:highlight w:val="none"/>
        </w:rPr>
        <w:t xml:space="preserve">4 тысяч рублей , (в том числе</w:t>
      </w:r>
      <w:r>
        <w:rPr>
          <w:sz w:val="28"/>
          <w:szCs w:val="28"/>
          <w:highlight w:val="none"/>
        </w:rPr>
        <w:t xml:space="preserve"> : на общеобразовательные программы +15603,22 тысяч рублей , комиссии по делам несовершеннолетних +52,60 тысяч рублей , опека и попечительство+334,9 тысяч рублей , Социальное обслуживание граждан+1406,20 тысяч рублей, сбор информации +3.65,Административные</w:t>
      </w:r>
      <w:r>
        <w:rPr>
          <w:sz w:val="28"/>
          <w:szCs w:val="28"/>
          <w:highlight w:val="none"/>
        </w:rPr>
        <w:t xml:space="preserve"> правонарушения+0.3 тысяч рублей, коррекционная школа-интернат+ 2827,37 тысяч рублей, дошкольное воспитание +5815,6, уведомительная регистрация—4.9 тысяч рублей,воинский учет +4.1 тысяч рублей), в основном изменения связаны с выполнением Указов Президента.</w:t>
      </w:r>
      <w:r>
        <w:rPr>
          <w:sz w:val="28"/>
          <w:szCs w:val="28"/>
          <w:highlight w:val="none"/>
        </w:rPr>
      </w:r>
      <w:r/>
    </w:p>
    <w:p>
      <w:pPr>
        <w:pStyle w:val="926"/>
        <w:ind w:left="0" w:firstLine="0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     субсидии </w:t>
      </w:r>
      <w:r>
        <w:rPr>
          <w:sz w:val="28"/>
          <w:szCs w:val="28"/>
          <w:highlight w:val="none"/>
        </w:rPr>
        <w:t xml:space="preserve">уменьшились на сумму </w:t>
      </w:r>
      <w:r>
        <w:rPr>
          <w:sz w:val="28"/>
          <w:szCs w:val="28"/>
          <w:highlight w:val="none"/>
        </w:rPr>
        <w:t xml:space="preserve">46551,61</w:t>
      </w:r>
      <w:r>
        <w:rPr>
          <w:sz w:val="28"/>
          <w:szCs w:val="28"/>
          <w:highlight w:val="none"/>
        </w:rPr>
        <w:t xml:space="preserve"> тысяч рублей ( в том числе : ГП «Орана окружающей среды»-4198,86 тысяч рублей , ГП «Жилищно-коммунальное хозяйство»-32654,99 тысяч рублей, </w:t>
      </w:r>
      <w:r>
        <w:rPr>
          <w:sz w:val="28"/>
          <w:szCs w:val="28"/>
          <w:highlight w:val="none"/>
        </w:rPr>
        <w:t xml:space="preserve">ГП «Энергосбережение и повышение энергоэффективности»-4320,76 тысяч рублей, ГП «Безопасный город»-30,0 тысяч рублей, модернизация образования-5545,0 тысяч рублей). Изменения в основном связаны с перераспределением бюджетных ассигнований областного бюджета.</w:t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-и</w:t>
      </w:r>
      <w:r>
        <w:rPr>
          <w:sz w:val="28"/>
          <w:szCs w:val="28"/>
          <w:highlight w:val="none"/>
        </w:rPr>
        <w:t xml:space="preserve">ные межбюджетные трансферты увеличились на сумму  </w:t>
      </w:r>
      <w:r>
        <w:rPr>
          <w:sz w:val="28"/>
          <w:szCs w:val="28"/>
          <w:highlight w:val="none"/>
        </w:rPr>
        <w:t xml:space="preserve">18231,74</w:t>
      </w:r>
      <w:r>
        <w:rPr>
          <w:sz w:val="28"/>
          <w:szCs w:val="28"/>
          <w:highlight w:val="none"/>
        </w:rPr>
        <w:t xml:space="preserve">тысяч рублей, ( в том числе: увеличилось классное руководство +17711,91 тысяч рублей, советники директоров школ+683,51 тысяч рублей</w:t>
      </w:r>
      <w:r>
        <w:rPr>
          <w:sz w:val="28"/>
          <w:szCs w:val="28"/>
          <w:highlight w:val="none"/>
        </w:rPr>
        <w:t xml:space="preserve">,  уменьшилось ГП НСО «Социальная поддержка»-3,58 тысяч рублей, ресурсное обеспечение модернизации образования-160,0 тысяч рублей).</w:t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В связи с внесением изменений в доходную часть бюджета Колыванского района по собственным доходам предоставляем информацию по исполнению бюджета Колыванского района Новосибирской области по состоянию на 1 июля 2024 года. 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Всего  собственных доходов  план 330410,2  тысяч рублей  факт 152412,34 тысяч рублей - 46%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В том числе  в структуре: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Налоговые доходы :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План 320 762,50 тысяч рублей , факт 136873,61  тысяч рублей - 43, в том числе: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НДФЛ  план 248 517,50 тысяч рублей , факт 87954,68 тысяч рублей - 35 %;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Акцизы  план 6367,40 тысяч рублей, факт 2946,69 тысяч рублей - 46 %;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УСН план 43326,0 тысяч рублей, факт 35767,94 тысяч рублей -83 %;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Патент план 3130,0 тысяч рублей, факт 4732,29 тысяч рублей - 151 %;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Транспортный налог план 13711,40 тысяч рублей ,факт 3276,22 тысячи рублей -24 %;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Госпошлина  план 5373,20 тысяч рублей, факт 2371,48 тысяч рублей -44 %;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Неналоговые доходы: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План 13044,55 тысяч рублей, факт 15538,73 тысячи рублей- 119%.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Увеличение планов по собственным доходам </w:t>
      </w:r>
      <w:r>
        <w:rPr>
          <w:sz w:val="28"/>
          <w:szCs w:val="28"/>
          <w:highlight w:val="none"/>
          <w:lang w:val="en-US"/>
        </w:rPr>
        <w:t xml:space="preserve"> </w:t>
      </w:r>
      <w:r>
        <w:rPr>
          <w:sz w:val="28"/>
          <w:szCs w:val="28"/>
          <w:highlight w:val="none"/>
          <w:lang w:val="ru-RU"/>
        </w:rPr>
        <w:t xml:space="preserve"> в разрезе видов </w:t>
      </w:r>
      <w:r>
        <w:rPr>
          <w:sz w:val="28"/>
          <w:szCs w:val="28"/>
          <w:highlight w:val="none"/>
        </w:rPr>
        <w:t xml:space="preserve">предп</w:t>
      </w:r>
      <w:r>
        <w:rPr>
          <w:sz w:val="28"/>
          <w:szCs w:val="28"/>
          <w:highlight w:val="none"/>
        </w:rPr>
        <w:t xml:space="preserve">олагается на сумму 20 517,4 тысяч рублей не является для финансового состояния бюджета Колыванского района критическим, так как в структуре налоговых и неналоговых доходам имеем по состоянию на 1 июля 2024 года перевыполнение  утвержденных годовых планов. 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Внесение изменений  в расходную часть</w:t>
      </w:r>
      <w:r>
        <w:rPr>
          <w:sz w:val="28"/>
          <w:szCs w:val="28"/>
        </w:rPr>
        <w:t xml:space="preserve"> бюджета  связана с отражением бюджетных ассигнов</w:t>
      </w:r>
      <w:r>
        <w:rPr>
          <w:sz w:val="28"/>
          <w:szCs w:val="28"/>
        </w:rPr>
        <w:t xml:space="preserve">аний по разделам , подразделам  целевым статья и видам расходов</w:t>
      </w:r>
      <w:r>
        <w:rPr>
          <w:sz w:val="28"/>
          <w:szCs w:val="28"/>
        </w:rPr>
        <w:t xml:space="preserve">  средств, выд</w:t>
      </w:r>
      <w:r>
        <w:rPr>
          <w:sz w:val="28"/>
          <w:szCs w:val="28"/>
        </w:rPr>
        <w:t xml:space="preserve">еленных из  областного бюджета, а также выделенные дополнительные лимиты бюджетных обязательств за счет средств районного бюджета на сумму 20517,4  тысяч рублей, источником которых является собственные доходы,  а именно: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-Образование на сумму 38783,6 тысяч рублей ( в том числе:  Указы Президента- педагоги дополнительного образования - 4785,0 тысяч рублей и изменения областного финансирования ( указано выше))</w:t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 Культура на сумму 10045,0  </w:t>
      </w:r>
      <w:r>
        <w:rPr>
          <w:sz w:val="28"/>
          <w:szCs w:val="28"/>
          <w:highlight w:val="none"/>
        </w:rPr>
        <w:t xml:space="preserve">тысяч рублей ( в том числе: Указы Президента- работники культуры- 10025,0 тысяч рублей</w:t>
      </w:r>
      <w:r>
        <w:rPr>
          <w:sz w:val="28"/>
          <w:szCs w:val="28"/>
          <w:highlight w:val="none"/>
        </w:rPr>
        <w:t xml:space="preserve">, стипендии одаренным детям -20,0 тысяч рублей)</w:t>
      </w:r>
      <w:r/>
    </w:p>
    <w:p>
      <w:pPr>
        <w:ind w:left="0" w:firstLine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      -Управление на сумму 892,33  тысяч рублей ( в том числе:  пенсионное обеспечение-230,1 тысяч рублей, обеспечение деятельности  263,0 тысяч рублей и изменение областного финансирования 399,23 тысяч рублей (указано выше))</w:t>
      </w:r>
      <w:r/>
    </w:p>
    <w:p>
      <w:p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  <w:highlight w:val="none"/>
        </w:rPr>
        <w:t xml:space="preserve">      – МБТ для поселений 1887,6 тысяч рублей ( в том числе: воинский учет- 4,1 тысяч рублей, матросы-спасатели-563,7 тысяч рублей, для ремонта зданий культуры: Скалинского сельсовета-419,8 тысяч рублей, Калининского сельсовета- 900,0 тысяч рублей) </w:t>
      </w:r>
      <w:r>
        <w:rPr>
          <w:sz w:val="28"/>
          <w:szCs w:val="28"/>
          <w:highlight w:val="none"/>
        </w:rPr>
      </w:r>
      <w:r/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Также согласно  заявкам и ходатайствам руководителей структурных подразделений и муниципальных учреждений</w:t>
      </w:r>
      <w:r>
        <w:rPr>
          <w:sz w:val="28"/>
          <w:szCs w:val="28"/>
        </w:rPr>
        <w:t xml:space="preserve"> учтены внутренние перераспределения средств для уточнения кодов бюджетной классификации.</w:t>
      </w:r>
      <w:r>
        <w:rPr>
          <w:sz w:val="28"/>
          <w:szCs w:val="28"/>
          <w:highlight w:val="none"/>
        </w:rPr>
      </w:r>
      <w:r/>
    </w:p>
    <w:p>
      <w:pPr>
        <w:pStyle w:val="9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Общая сумма</w:t>
      </w:r>
      <w:r>
        <w:rPr>
          <w:sz w:val="28"/>
          <w:szCs w:val="28"/>
        </w:rPr>
        <w:t xml:space="preserve"> доходов бюджета Колыванского района 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составит 2 025 052,5 </w:t>
      </w:r>
      <w:r>
        <w:rPr>
          <w:sz w:val="28"/>
          <w:szCs w:val="28"/>
        </w:rPr>
        <w:t xml:space="preserve">тысяч рублей  ,  в плановом периоде  </w:t>
      </w:r>
      <w:r>
        <w:rPr>
          <w:sz w:val="28"/>
          <w:szCs w:val="28"/>
        </w:rPr>
        <w:t xml:space="preserve">1 533 833,59</w:t>
      </w:r>
      <w:r>
        <w:rPr>
          <w:sz w:val="28"/>
          <w:szCs w:val="28"/>
        </w:rPr>
        <w:t xml:space="preserve"> тысяч рублей на 2025 год за счет увеличения </w:t>
      </w:r>
      <w:r>
        <w:rPr>
          <w:sz w:val="28"/>
          <w:szCs w:val="28"/>
        </w:rPr>
        <w:t xml:space="preserve">государственных программ </w:t>
      </w:r>
      <w:r>
        <w:rPr>
          <w:sz w:val="28"/>
          <w:szCs w:val="28"/>
        </w:rPr>
        <w:t xml:space="preserve"> и на 2026 год </w:t>
      </w:r>
      <w:r>
        <w:rPr>
          <w:sz w:val="28"/>
          <w:szCs w:val="28"/>
        </w:rPr>
        <w:t xml:space="preserve">1 497 334,60</w:t>
      </w:r>
      <w:r>
        <w:rPr>
          <w:sz w:val="28"/>
          <w:szCs w:val="28"/>
        </w:rPr>
        <w:t xml:space="preserve"> тысяч рублей за счет увеличения финансирования по государственным программам.</w:t>
      </w:r>
      <w:r>
        <w:rPr>
          <w:sz w:val="24"/>
          <w:szCs w:val="24"/>
        </w:rPr>
        <w:t xml:space="preserve"> </w:t>
      </w:r>
      <w:r/>
    </w:p>
    <w:p>
      <w:pPr>
        <w:jc w:val="both"/>
        <w:rPr>
          <w:sz w:val="24"/>
          <w:szCs w:val="24"/>
        </w:rPr>
      </w:pPr>
      <w:r>
        <w:rPr>
          <w:sz w:val="28"/>
          <w:szCs w:val="28"/>
        </w:rPr>
        <w:t xml:space="preserve">         Общая сумма </w:t>
      </w:r>
      <w:r>
        <w:rPr>
          <w:sz w:val="28"/>
          <w:szCs w:val="28"/>
        </w:rPr>
        <w:t xml:space="preserve"> расходов бюджета Колыванского райо</w:t>
      </w:r>
      <w:r>
        <w:rPr>
          <w:sz w:val="28"/>
          <w:szCs w:val="28"/>
        </w:rPr>
        <w:t xml:space="preserve">на с учетом всех изменений </w:t>
      </w:r>
      <w:r>
        <w:rPr>
          <w:sz w:val="28"/>
          <w:szCs w:val="28"/>
        </w:rPr>
        <w:t xml:space="preserve"> на 2024 год </w:t>
      </w:r>
      <w:r>
        <w:rPr>
          <w:sz w:val="28"/>
          <w:szCs w:val="28"/>
        </w:rPr>
        <w:t xml:space="preserve">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т</w:t>
      </w:r>
      <w:r>
        <w:rPr>
          <w:sz w:val="28"/>
          <w:szCs w:val="28"/>
        </w:rPr>
        <w:t xml:space="preserve">авит 2 065 086,8 тысяч рублей</w:t>
      </w:r>
      <w:r>
        <w:rPr>
          <w:bCs/>
          <w:sz w:val="28"/>
          <w:szCs w:val="28"/>
        </w:rPr>
        <w:t xml:space="preserve">,  в плановом периоде на 2025 год 1 533 833,59 тысяч рублей , на 2026 год на сумму </w:t>
      </w:r>
      <w:r>
        <w:rPr>
          <w:sz w:val="28"/>
          <w:szCs w:val="28"/>
        </w:rPr>
        <w:t xml:space="preserve">1 497 334,60</w:t>
      </w:r>
      <w:r>
        <w:rPr>
          <w:bCs/>
          <w:sz w:val="28"/>
          <w:szCs w:val="28"/>
        </w:rPr>
        <w:t xml:space="preserve"> тысяч рублей .</w:t>
      </w:r>
      <w:r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Дефицит бюджета Колыванского района  с учетом всех изменений</w:t>
      </w:r>
      <w:r>
        <w:rPr>
          <w:bCs/>
          <w:sz w:val="28"/>
          <w:szCs w:val="28"/>
        </w:rPr>
        <w:t xml:space="preserve"> на 2024 год </w:t>
      </w:r>
      <w:r>
        <w:rPr>
          <w:bCs/>
          <w:sz w:val="28"/>
          <w:szCs w:val="28"/>
        </w:rPr>
        <w:t xml:space="preserve"> будет находится в пределах </w:t>
      </w:r>
      <w:r>
        <w:rPr>
          <w:bCs/>
          <w:sz w:val="28"/>
          <w:szCs w:val="28"/>
        </w:rPr>
        <w:t xml:space="preserve">  40 034,3 тысяч рублей</w:t>
      </w:r>
      <w:r>
        <w:rPr>
          <w:bCs/>
          <w:sz w:val="28"/>
          <w:szCs w:val="28"/>
        </w:rPr>
        <w:t xml:space="preserve">,</w:t>
      </w:r>
      <w:r>
        <w:rPr>
          <w:bCs/>
          <w:sz w:val="28"/>
          <w:szCs w:val="28"/>
        </w:rPr>
        <w:t xml:space="preserve"> на  2025 -2026 год дефицит отсутствует. 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</w:r>
      <w:r/>
    </w:p>
    <w:p>
      <w:pPr>
        <w:pStyle w:val="9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Просроченная задолженность по долговым обязательствам муниципального образования Колыванского района Новосибирской  области   отсутствует.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</w:r>
      <w:r/>
    </w:p>
    <w:p>
      <w:pPr>
        <w:pStyle w:val="91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Все изменения</w:t>
      </w:r>
      <w:r>
        <w:rPr>
          <w:sz w:val="28"/>
          <w:szCs w:val="28"/>
        </w:rPr>
        <w:t xml:space="preserve"> по доходам и  расходам,</w:t>
      </w:r>
      <w:r>
        <w:rPr>
          <w:sz w:val="28"/>
          <w:szCs w:val="28"/>
        </w:rPr>
        <w:t xml:space="preserve"> внесенные в настоящий проект решения  представлены  в нижеприведенных таблицах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jc w:val="left"/>
        <w:tabs>
          <w:tab w:val="clear" w:pos="4536" w:leader="none"/>
          <w:tab w:val="clear" w:pos="9072" w:leader="none"/>
          <w:tab w:val="left" w:pos="13103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tab/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 xml:space="preserve">Изменения в доходную часть бюджета Колыванского района Новосибирской области </w:t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tbl>
      <w:tblPr>
        <w:tblStyle w:val="774"/>
        <w:tblW w:w="0" w:type="auto"/>
        <w:tblLayout w:type="fixed"/>
        <w:tblLook w:val="04A0" w:firstRow="1" w:lastRow="0" w:firstColumn="1" w:lastColumn="0" w:noHBand="0" w:noVBand="1"/>
      </w:tblPr>
      <w:tblGrid>
        <w:gridCol w:w="2070"/>
        <w:gridCol w:w="4365"/>
        <w:gridCol w:w="3068"/>
        <w:gridCol w:w="2551"/>
        <w:gridCol w:w="2835"/>
      </w:tblGrid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Код вида дохода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Наименование групп, подгрупп,  статей доходов, подстатей, элементов, кодов подвидов  доходов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2024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2025 год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2026 год</w:t>
            </w:r>
            <w:r/>
          </w:p>
        </w:tc>
      </w:tr>
      <w:tr>
        <w:trPr>
          <w:trHeight w:val="456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Налоговые доходы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320762,5+16517,40=337 279,9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280 743,90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297 184,70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прибыль, доходы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248517,5+14917,40= 260 286,9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203 519,80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215 557,00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248517,5+14917,40= 263 434,90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203 519,80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215 557,00</w:t>
            </w:r>
            <w:r/>
          </w:p>
        </w:tc>
      </w:tr>
      <w:tr>
        <w:trPr>
          <w:trHeight w:val="18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00010102010010000110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источником которых является налоговый а</w:t>
            </w:r>
            <w:r>
              <w:t xml:space="preserve">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в виде дивидендов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245369,5+14917,40= 260 286,9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200 769,80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212 762,00</w:t>
            </w:r>
            <w:r/>
          </w:p>
        </w:tc>
      </w:tr>
      <w:tr>
        <w:trPr>
          <w:trHeight w:val="24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00010102020011000110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</w:t>
            </w:r>
            <w:r>
              <w:t xml:space="preserve">, учредивших адвокатские кабинеты, и других лиц, занимающихся частной практикой в соответствии со ст. 227 Налогового кодекса Российской Федерации (сумма платежа (перерасчеты, недоимки и задолженности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737,00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649,00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689,00</w:t>
            </w:r>
            <w:r/>
          </w:p>
        </w:tc>
      </w:tr>
      <w:tr>
        <w:trPr>
          <w:trHeight w:val="24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00010102020013000110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</w:t>
            </w:r>
            <w:r>
              <w:t xml:space="preserve"> учредивших адвокатские кабинеты, и других лиц, занимающихся частной практикой в соответствии со ст. 227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1,00</w:t>
            </w:r>
            <w:r/>
          </w:p>
        </w:tc>
      </w:tr>
      <w:tr>
        <w:trPr>
          <w:trHeight w:val="13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00010102030011000110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2 300,00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</w:tr>
      <w:tr>
        <w:trPr>
          <w:trHeight w:val="13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00010102030013000110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с доходов, полученных физическими лицами в соответствии со ст.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10,00</w:t>
            </w:r>
            <w:r/>
          </w:p>
        </w:tc>
      </w:tr>
      <w:tr>
        <w:trPr>
          <w:trHeight w:val="19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00010102040011000110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на доходы физических лиц в виде фиксированных авансовых платежей с доходов, полученных физическими лицами  являющимися иностранными гражд</w:t>
            </w:r>
            <w:r>
              <w:t xml:space="preserve">анами осуществляющими трудовую деятельность по найму на основании патента в соответствии со статьёй 227.1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90,00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95,00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00010300000000000000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товары (работы, услуги), реализуемые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6 367,40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7 474,00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7 532,30</w:t>
            </w:r>
            <w:r/>
          </w:p>
        </w:tc>
      </w:tr>
      <w:tr>
        <w:trPr>
          <w:trHeight w:val="5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00010302000010000110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Акцизы по подакцизным товарам (продукции), производимым на территории Российской Федерации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6 367,40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7 474,00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7 532,30</w:t>
            </w:r>
            <w:r/>
          </w:p>
        </w:tc>
      </w:tr>
      <w:tr>
        <w:trPr>
          <w:trHeight w:val="20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00010302231010000110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дизельное топливо, подлежащие распределению между бюджетами 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3 107,00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3 714,80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3 743,70</w:t>
            </w:r>
            <w:r/>
          </w:p>
        </w:tc>
      </w:tr>
      <w:tr>
        <w:trPr>
          <w:trHeight w:val="22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00010302241010000110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23,20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23,40</w:t>
            </w:r>
            <w:r/>
          </w:p>
        </w:tc>
      </w:tr>
      <w:tr>
        <w:trPr>
          <w:trHeight w:val="20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00010302251010000110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автомобильный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3 611,10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4 164,40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4 196,90</w:t>
            </w:r>
            <w:r/>
          </w:p>
        </w:tc>
      </w:tr>
      <w:tr>
        <w:trPr>
          <w:trHeight w:val="20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00010302261010000110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уплаты акцизов на прямогонный бензин, подлежащие распределению между бюджетами субъектов Российск</w:t>
            </w:r>
            <w:r>
              <w:t xml:space="preserve">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-371,00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-428,40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-431,70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совокупный доход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46793+1600=48393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50 663,00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55 006,00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в связи с применением упрощенной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43 326,00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47 095,00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51 334,00</w:t>
            </w:r>
            <w:r/>
          </w:p>
        </w:tc>
      </w:tr>
      <w:tr>
        <w:trPr>
          <w:trHeight w:val="11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00010501011011000110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25 764,50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26 531,50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28 813,00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00010501011013000110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объекта налогообложения доходы (суммы денежных взысканий (штрафов) по соответствующему платежу согласно законодательству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10,60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11,50</w:t>
            </w:r>
            <w:r/>
          </w:p>
        </w:tc>
      </w:tr>
      <w:tr>
        <w:trPr>
          <w:trHeight w:val="15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00010501021011000110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Налог, взимаемый с налогоплательщиков, выбравших в качестве объе</w:t>
            </w:r>
            <w:r>
              <w:t xml:space="preserve">кта налогообложения доходы, уменьшенные на величину расходов (в том числе минимальный налог, зачисляемый в бюджеты субъектов Российской Федерации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17 551,60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20 552,90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22 509,50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00010503000000000110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337,00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347,00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358,00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00010503010011000110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Единый сельскохозяйственный налог (сумма платежа (перерасчеты, недоимки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337,00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347,00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358,00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00010504000000000110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3130+1600=4730,0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3 221,00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3 314,00</w:t>
            </w:r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00010504020021000110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 взимаемый с применением патентной системы налогообложения, зачисляемый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3130,0+1600,0= 4730,0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3 221,00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3 314,00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Налоги на имущество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00010604000020000110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13 711,40</w:t>
            </w:r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00010604011020000110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организаций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2 087,10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2 087,10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2 087,10</w:t>
            </w:r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00010604012020000110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Транспортный налог с физических лиц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11 624,30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11 624,30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11 624,30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00010800000000000000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5 373,20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5 375,70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5 378,00</w:t>
            </w:r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00010803010010000110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5 373,20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5 375,70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5 378,00</w:t>
            </w:r>
            <w:r/>
          </w:p>
        </w:tc>
      </w:tr>
      <w:tr>
        <w:trPr>
          <w:trHeight w:val="48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Неналоговые доходы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13044,55+4000,0= 17 044,55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9 446,60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9 486,00</w:t>
            </w:r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использования имущества, находящегося в государственной и муниципальной собственности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5 406,50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5 406,50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5 364,40</w:t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00011105013050000120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 за земельные уча</w:t>
            </w:r>
            <w:r>
              <w:t xml:space="preserve">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4 014,40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4 014,40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4 014,40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00011105013130000120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</w:t>
            </w:r>
            <w:r>
              <w:t xml:space="preserve">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 , а также средства от продажи права на заключение договоров аренды указанных земельных участков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1 144,30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1 144,30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1 144,30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00011105025050000120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177,50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177,50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135,40</w:t>
            </w:r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00011105035050000120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сдачи в аренду имущества находящегося в оперативном управлении органов управления муниципальных районов и созданных ими учреждений ( за исключением имущества муниципальных бюджетных и автономных учреждений)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70,30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70,30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при пользовании природными ресурсами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3 198,90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298,90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298,90</w:t>
            </w:r>
            <w:r/>
          </w:p>
        </w:tc>
      </w:tr>
      <w:tr>
        <w:trPr>
          <w:trHeight w:val="10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00011201010016000120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выбросы загрязняющих веществ в атмосферный воздух стационарными объектами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3 181,90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281,90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281,90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00011201041016000120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Плата за размещение отходов производства (федеральные государственные органы, Банк России, органы управления государственными внебюджетными фондами Российской Федерации)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17,00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оказания платных услуг и компенсации затрат государства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2 785,75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2 087,80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2 169,30</w:t>
            </w:r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00011301995050012130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Колыванский краеведческий музей»)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476,50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475,00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480,00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00011301995050014130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Центр развития культуры Колыванского района Новосибирской области»)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1 739,95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1 249,90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1 262,90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00011301995050015130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Прочие доходы от оказания платных услуг (работ) получателями средств бюджетов муниципальных районов (МКУ "Районный клуб развития физической культуры и спорта")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518,00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260,00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260,00</w:t>
            </w:r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00011302065050000130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Доходы, поступающие в порядке возмещения расходов, понесенных в связи с эксплуатацией имущества муниципальных районов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51,30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102,90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166,40</w:t>
            </w:r>
            <w:r/>
          </w:p>
        </w:tc>
      </w:tr>
      <w:tr>
        <w:trPr>
          <w:trHeight w:val="45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00011400000000000000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продажи материальных и нематериальных активов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200,0+4000,0= 4200,0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</w:tr>
      <w:tr>
        <w:trPr>
          <w:trHeight w:val="165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00011402053050000410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реализации иного имущества, находящ</w:t>
            </w:r>
            <w:r>
              <w:t xml:space="preserve">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200,0+4000,0= 4200,0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200,00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санкции, возмещение ущерба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1 453,40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1 453,40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1 453,40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00011601053010000140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</w:t>
            </w:r>
            <w:r>
              <w:t xml:space="preserve">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</w:tr>
      <w:tr>
        <w:trPr>
          <w:trHeight w:val="17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00011601063010000140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6 Кодекса Российской Федерации об админ</w:t>
            </w:r>
            <w:r>
              <w:t xml:space="preserve">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50,00</w:t>
            </w:r>
            <w:r/>
          </w:p>
        </w:tc>
      </w:tr>
      <w:tr>
        <w:trPr>
          <w:trHeight w:val="13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00011601073010000140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</w:t>
            </w:r>
            <w:r>
              <w:t xml:space="preserve">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47,00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47,00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47,00</w:t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00011601083010000140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</w:t>
            </w:r>
            <w:r>
              <w:t xml:space="preserve">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</w:tr>
      <w:tr>
        <w:trPr>
          <w:trHeight w:val="18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00011601143010000140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главой 14 Кодекса Российско</w:t>
            </w:r>
            <w:r>
              <w:t xml:space="preserve">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11,00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11,00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11,00</w:t>
            </w:r>
            <w:r/>
          </w:p>
        </w:tc>
      </w:tr>
      <w:tr>
        <w:trPr>
          <w:trHeight w:val="16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00011601203010000140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Административные штрафы, установленные глав</w:t>
            </w:r>
            <w:r>
              <w:t xml:space="preserve">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723,90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723,90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723,90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00011607010050000140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76,00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76,00</w:t>
            </w:r>
            <w:r/>
          </w:p>
        </w:tc>
      </w:tr>
      <w:tr>
        <w:trPr>
          <w:trHeight w:val="139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00011607090050000140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88,00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88,00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88,00</w:t>
            </w:r>
            <w:r/>
          </w:p>
        </w:tc>
      </w:tr>
      <w:tr>
        <w:trPr>
          <w:trHeight w:val="25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00011610123010051140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</w:t>
            </w:r>
            <w:r>
              <w:t xml:space="preserve">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44,00</w:t>
            </w:r>
            <w:r/>
          </w:p>
        </w:tc>
      </w:tr>
      <w:tr>
        <w:trPr>
          <w:trHeight w:val="18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00011611050010000140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Платежи по искам о возмещении вреда, причиненного окружающей среде, а также платежи, уплачиваемые при добр</w:t>
            </w:r>
            <w:r>
              <w:t xml:space="preserve">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380,00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380,00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380,00</w:t>
            </w:r>
            <w:r/>
          </w:p>
        </w:tc>
      </w:tr>
      <w:tr>
        <w:trPr>
          <w:trHeight w:val="570"/>
        </w:trPr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Всего доходов налоговых и неналоговых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333807,05+20517,40=354324,45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290 190,50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306 670,70</w:t>
            </w:r>
            <w:r/>
          </w:p>
        </w:tc>
      </w:tr>
      <w:tr>
        <w:trPr>
          <w:trHeight w:val="7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20000000000000000000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Безвозмездные поступления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1672991,56-2263,54=                   1 670 728,02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1207806,1 +35836,99=            1 243 643,09</w:t>
            </w:r>
            <w:r/>
          </w:p>
        </w:tc>
        <w:tc>
          <w:tcPr>
            <w:shd w:val="clear" w:color="eeece1" w:fill="eeece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1190575,8+88,1=     1 190 663,90</w:t>
            </w:r>
            <w:r/>
          </w:p>
        </w:tc>
      </w:tr>
      <w:tr>
        <w:trPr>
          <w:trHeight w:val="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Дотация  бюджетам муниципальных районов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90 589,90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48 994,7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51 062,80</w:t>
            </w:r>
            <w:r/>
          </w:p>
        </w:tc>
      </w:tr>
      <w:tr>
        <w:trPr>
          <w:trHeight w:val="456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00020215001050000150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Дотации бюджетам муниципальных районов  на выравнивание бюджетной обеспеченности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90 589,90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48 994,70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51 062,80</w:t>
            </w:r>
            <w:r/>
          </w:p>
        </w:tc>
      </w:tr>
      <w:tr>
        <w:trPr>
          <w:trHeight w:val="8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747469,47-46551,61=         700917,86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302760,1+35836,99=338 597,09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241207,1+88,1=   241 295,20</w:t>
            </w:r>
            <w:r/>
          </w:p>
        </w:tc>
      </w:tr>
      <w:tr>
        <w:trPr>
          <w:trHeight w:val="9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строительство (приобретение на первичном рынке) служебного жилья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31 913,20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защите территорий населенных пунктов Новосибирской области от подтопления и затопления государственной программы Новосибирской области "Охрана окружающей среды"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83977,3-4198,86=  79778,44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82 727,40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40 072,30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строительству и реконструкции объектов централизованных систем холодного водоснабжения и водоотведения государственной программы Новосибирской области "Жилищно-коммунальное хозяйство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32654,99-32654,99= 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43378,0+32654,99= 76 032,99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</w:t>
            </w:r>
            <w:r>
              <w:t xml:space="preserve">ализацию мероприятий по проектированию и созданию инфраструктуры в сфере обращения с твердыми коммунальными отходами государственной программы Новосибирской области "Развитие системы обращения с отходами производства и потребления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22 835,00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00020220077050000150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</w:t>
            </w:r>
            <w:r>
              <w:t xml:space="preserve"> мероприятий по строительству и реконструкции котельных, тепловых сетей, включая вынос водопроводов из каналов тепловой сети, государственной программы Новосибирской области "Энергосбережение и повышение энергетической эффективности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13327,95-4320,76=   9007,19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24419,4+3846,7= 28266,1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14 827,20</w:t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00020220216050000150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</w:t>
            </w:r>
            <w:r>
              <w:t xml:space="preserve">стойчивому функционированию автомобильных дорог местного значения и искусственных сооружений на них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36 987,20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35 339,80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34 041,80</w:t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00020225098050000150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обновление материально-технической базы для организации учебно-исследовательской, научно-практиче</w:t>
            </w:r>
            <w:r>
              <w:t xml:space="preserve">ской, творческой деятельности, занятий физической культурой и спортом в 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1 888,60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8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00020225172050000150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обновление материально-технической базы общеобразовательных организаций, в том числе ос</w:t>
            </w:r>
            <w:r>
              <w:t xml:space="preserve">уществляющих образовательную деятельность по адаптированным основным общеобразовательным программам,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2 000,00</w:t>
            </w:r>
            <w:r/>
          </w:p>
        </w:tc>
      </w:tr>
      <w:tr>
        <w:trPr>
          <w:trHeight w:val="163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00020225304050000150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бесплатного горячего питани</w:t>
            </w:r>
            <w:r>
              <w:t xml:space="preserve">я обучающихся, получающих начальное общее образование в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16 965,90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17 644,20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18 351,70</w:t>
            </w:r>
            <w:r/>
          </w:p>
        </w:tc>
      </w:tr>
      <w:tr>
        <w:trPr>
          <w:trHeight w:val="13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00020225467050000150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развития и укрепления материально-технической базы домов культуры в населенных пунктах с числом жителей до 50 тысяч человек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1 108,70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1 102,80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1 116,20</w:t>
            </w:r>
            <w:r/>
          </w:p>
        </w:tc>
      </w:tr>
      <w:tr>
        <w:trPr>
          <w:trHeight w:val="75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00020225519050000150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государственную поддержку отрасли культуры государственной программы Новосибирской области "Культура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501,53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293,50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301,10</w:t>
            </w:r>
            <w:r/>
          </w:p>
        </w:tc>
      </w:tr>
      <w:tr>
        <w:trPr>
          <w:trHeight w:val="14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00020225527050000150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софинансирование муниципальных программ развития малого и среднего предпринимательства государственной программы Новосибирской области "Развитие субъектов малого и среднего предпринимательства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407,42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407,40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407,40</w:t>
            </w:r>
            <w:r/>
          </w:p>
        </w:tc>
      </w:tr>
      <w:tr>
        <w:trPr>
          <w:trHeight w:val="11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00020225750050000150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школьных систем образования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56 108,80</w:t>
            </w:r>
            <w:r/>
          </w:p>
        </w:tc>
      </w:tr>
      <w:tr>
        <w:trPr>
          <w:trHeight w:val="17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ресурсному обеспечению модернизации образования Но</w:t>
            </w:r>
            <w: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112450,0-5545,0= 106 905,00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3 600,00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3 600,00</w:t>
            </w:r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оздоровлению детей государственной программы Новосибирской области "Социальная поддержка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2 748,40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2 748,40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2 748,40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софинансирован</w:t>
            </w:r>
            <w:r>
              <w:t xml:space="preserve">ие мероприятий муниципальных программ развития территориального общественного самоуправления в Новосибирской области государственной программы Новосибирской области "Развитие институтов региональной политики и гражданского общества в Новосибирской области»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619,80</w:t>
            </w:r>
            <w:r/>
          </w:p>
        </w:tc>
      </w:tr>
      <w:tr>
        <w:trPr>
          <w:trHeight w:val="20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осуществлению малобюджетного строительства, реконструкции, благоустройства, ремонта спорт</w:t>
            </w:r>
            <w:r>
              <w:t xml:space="preserve">ивных сооружений, обеспечения оборудованием и инвентарем спортивных объектов, приобретения объектов недвижимого имущества спортивного назначения государственной программы Новосибирской области "Развитие физической культуры и спорта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10 000,00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</w:t>
            </w:r>
            <w:r>
              <w:t xml:space="preserve">убсидия на реализацию мероприятий по обеспечению жилыми помещениями многодетных малообеспеченных семей по договорам социального найма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11 500,00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10 000,00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5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мероприятий, направленных на подготов</w:t>
            </w:r>
            <w:r>
              <w:t xml:space="preserve">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5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осуществление полномочий по организации регулярных</w:t>
            </w:r>
            <w:r>
              <w:t xml:space="preserve"> перевозок пассажиров и багажа по муниципальным маршрутам государственной программы Новосибирской области "Обеспечение доступности услуг общественного пассажирского транспорта, в том числе Новосибирского метрополитена, для населения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4 253,40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4 253,40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4 253,40</w:t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</w:t>
            </w:r>
            <w:r>
              <w:t xml:space="preserve">иятий по организации функционирования систем жизнеобеспечения и снабжению населения топливом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30 823,08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30 316,40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30 316,40</w:t>
            </w:r>
            <w:r/>
          </w:p>
        </w:tc>
      </w:tr>
      <w:tr>
        <w:trPr>
          <w:trHeight w:val="141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организацию бесперебойной работы объектов тепло-, водоснабжения и водоотведения подпрограммы "Безопасность жилищно-коммунального хозяйства" государственной программы Новосибирской области "Жилищно-коммунальное хозяйство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8 688,50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8 688,50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8 688,50</w:t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содействию созданию новых мест в образова</w:t>
            </w:r>
            <w:r>
              <w:t xml:space="preserve">тельных организациях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4 500,00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62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подготовку градостроительной документации и (или)</w:t>
            </w:r>
            <w:r>
              <w:t xml:space="preserve"> внесение в нее изменений подпрограммы "Градостроительная подготовка территорий и фонд пространственных данных Новосибирской области" государственной программы Новосибирской области "Стимулирование развития жилищного строительства в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1 916,50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13648,7-664,70=  12 984,0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0+88,10=88,10</w:t>
            </w:r>
            <w:r/>
          </w:p>
        </w:tc>
      </w:tr>
      <w:tr>
        <w:trPr>
          <w:trHeight w:val="16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ус</w:t>
            </w:r>
            <w:r>
              <w:t xml:space="preserve">тановке и модернизации систем видеонаблюдения, автоматической пожарной сигнализации и пожарного мониторинга государственной программы Новосибирской области "Построение и развитие аппаратно-программного комплекса "Безопасный город"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600,0-30,0= 570,0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600,00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600,00</w:t>
            </w:r>
            <w:r/>
          </w:p>
        </w:tc>
      </w:tr>
      <w:tr>
        <w:trPr>
          <w:trHeight w:val="112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комплектованию библиотечных фондов муниципальных общедоступных библиотек Новосибирской области государственной программы Новосибирской области "Культура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319,10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319,10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319,10</w:t>
            </w:r>
            <w:r/>
          </w:p>
        </w:tc>
      </w:tr>
      <w:tr>
        <w:trPr>
          <w:trHeight w:val="138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в области использования и охраны водных объектов и поддержание безопасного технического состояния гидротехнических сооружений Новосибирской области государственной программы Новосибирской области "Охрана окружающей среды"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0+198,0=198,0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2 640,00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модернизации и развитию инфраструктуры связи на территории Новосибирской области государственной программы Новосибирской области "Цифровая трансформация Новосибирской области" 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5 013,30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96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00020229999050000150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Субсидия на реализацию мероприятий по обеспечению сбалансированности местных бюджетов государственной программы Новосибирской области "Управление финансами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347 317,90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8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субъектов Российской Федерации и муниципальных образований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796766,54+26056,34=822 822,88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823 505,90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866 191,60</w:t>
            </w:r>
            <w:r/>
          </w:p>
        </w:tc>
      </w:tr>
      <w:tr>
        <w:trPr>
          <w:trHeight w:val="70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в муниципальных общеобразовательных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280934,1+15603,22= 296 537,32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304 407,10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327 515,00</w:t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социальную поддержку отдельных категорий детей, обучающихся в образовательных организациях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19 177,10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19 177,10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19 177,10</w:t>
            </w:r>
            <w:r/>
          </w:p>
        </w:tc>
      </w:tr>
      <w:tr>
        <w:trPr>
          <w:trHeight w:val="76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образование и организацию деятельности комиссий по делам несовершеннолетних и защите их прав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1623,7+52,60=         1 676,30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1 650,90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1 761,50</w:t>
            </w:r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организацию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52150,1+334,9=      52 485,00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61 629,50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63 787,30</w:t>
            </w:r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обеспечению социального обслуживания отдельных категорий граждан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49906,4+1406,20= 51 312,60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54 841,10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59 330,90</w:t>
            </w:r>
            <w:r/>
          </w:p>
        </w:tc>
      </w:tr>
      <w:tr>
        <w:trPr>
          <w:trHeight w:val="13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сбору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103,6+3,65=107,25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105,10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111,30</w:t>
            </w:r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решению вопросов в сфере административных правонарушений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7,5+0,3=7,8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7,60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8,10</w:t>
            </w:r>
            <w:r/>
          </w:p>
        </w:tc>
      </w:tr>
      <w:tr>
        <w:trPr>
          <w:trHeight w:val="87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отдельных государственных полномочий Новосибирской области по расчету и предоставлению дотаций бюджетам поселений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67 949,20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42 729,20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45 612,80</w:t>
            </w:r>
            <w:r/>
          </w:p>
        </w:tc>
      </w:tr>
      <w:tr>
        <w:trPr>
          <w:trHeight w:val="15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по организации получения образовани</w:t>
            </w:r>
            <w:r>
              <w:t xml:space="preserve">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111 425,8+2827,37= 114 253,17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116 128,60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124 047,60</w:t>
            </w:r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реализацию основных общеобразовательных программ дошкольного образования в муниципальных образовательных организациях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113363,5+5815,6= 119 179,10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126 396,40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138 449,10</w:t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уведомительной регистрации коллективных договоров, территориальных соглашений и территориальных отраслевых (межотраслевых) соглашений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393,79+13,30= 407,09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400,30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427,10</w:t>
            </w:r>
            <w:r/>
          </w:p>
        </w:tc>
      </w:tr>
      <w:tr>
        <w:trPr>
          <w:trHeight w:val="68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00020230024050000150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организацию мероприятий при осуществлении деятельности по обращению с животными без владельцев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1044,86-4,9= 1039,96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550,00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550,00</w:t>
            </w:r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00020235082050000150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95 316,30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91 797,00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81 239,20</w:t>
            </w:r>
            <w:r/>
          </w:p>
        </w:tc>
      </w:tr>
      <w:tr>
        <w:trPr>
          <w:trHeight w:val="9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00020235118050000150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3358+4,1=3362,1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3 673,00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4 023,20</w:t>
            </w:r>
            <w:r/>
          </w:p>
        </w:tc>
      </w:tr>
      <w:tr>
        <w:trPr>
          <w:trHeight w:val="9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00020235120050000150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12,59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13,00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151,40</w:t>
            </w:r>
            <w:r/>
          </w:p>
        </w:tc>
      </w:tr>
      <w:tr>
        <w:trPr>
          <w:trHeight w:val="7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00020240000000000150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38165,64+18231,74=56 397,38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32 545,40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32 114,30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00020240014050000150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заключёнными соглашениями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204,70</w:t>
            </w:r>
            <w:r/>
          </w:p>
        </w:tc>
      </w:tr>
      <w:tr>
        <w:trPr>
          <w:trHeight w:val="157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00020245303050000150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ежемесячное денежное вознагражде</w:t>
            </w:r>
            <w:r>
              <w:t xml:space="preserve">ние за классное руководство педагогическим работникам муниципальных общеобразовательных организаций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22091,6+17711,91= 39 803,51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21 385,30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21 479,10</w:t>
            </w:r>
            <w:r/>
          </w:p>
        </w:tc>
      </w:tr>
      <w:tr>
        <w:trPr>
          <w:trHeight w:val="20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питанием на льготных условиях детей военнослужащих, обучающихся по программам основного общего образ</w:t>
            </w:r>
            <w:r>
              <w:t xml:space="preserve">ования и среднего общего образования в государственных и муниципальных образовательных организациях,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204,90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81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ресурсному обеспечению модернизации образования Но</w:t>
            </w:r>
            <w:r>
              <w:t xml:space="preserve">восибирской области подпрограммы "Развитие дошкольного, общего и дополнительного образования детей"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3200,0-160,0=          3 040,0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3 200,00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3 200,00</w:t>
            </w:r>
            <w:r/>
          </w:p>
        </w:tc>
      </w:tr>
      <w:tr>
        <w:trPr>
          <w:trHeight w:val="159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создание социально-э</w:t>
            </w:r>
            <w:r>
              <w:t xml:space="preserve">кономических условий для повышения качества жизни граждан пожилого возраста, степени их социальной защищенности, содействие их активному участию в жизни общества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49,64-2,48=47,16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обеспечению жильем молодых семей государственной программы Новосибирской области "Стимулирование развития жилищного строительства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1 114,30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1 114,30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1 114,30</w:t>
            </w:r>
            <w:r/>
          </w:p>
        </w:tc>
      </w:tr>
      <w:tr>
        <w:trPr>
          <w:trHeight w:val="115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организацию и проведение мероприятий с целью расширения прав инвалидов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24-1,2=22,8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24,00</w:t>
            </w:r>
            <w:r/>
          </w:p>
        </w:tc>
      </w:tr>
      <w:tr>
        <w:trPr>
          <w:trHeight w:val="13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мероприятий по улучшению жилищных условий граждан, проживающих на сельских территориях, государственной программы Новосибирской области "Комплексное развитие сельских территорий в Новосибирской области" 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реализацию мероприятий по созданию системы долговременного ухода за гражданами пожилого возраста и инвалидами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6 136,60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0,00</w:t>
            </w:r>
            <w:r/>
          </w:p>
        </w:tc>
      </w:tr>
      <w:tr>
        <w:trPr>
          <w:trHeight w:val="1845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00020245179050000150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деятельности советников директора по в</w:t>
            </w:r>
            <w:r>
              <w:t xml:space="preserve">оспитанию и взаимодействию с детскими общественными объединениями в общеобразовательных организациях государственной программы Новосибирской области "Развитие образования, создание условий для социализации детей и учащейся молодежи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5130,4+683,51=       5 813,91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6 607,60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6 082,70</w:t>
            </w:r>
            <w:r/>
          </w:p>
        </w:tc>
      </w:tr>
      <w:tr>
        <w:trPr>
          <w:trHeight w:val="1824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00020249999050000150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Иные межбюджетные трансферты на обеспечение проезда детей и совершеннолетних граждан-сопро</w:t>
            </w:r>
            <w:r>
              <w:t xml:space="preserve">вождающих организованные группы детей к месту отдыха и обратно при условии нахождения места отдыха за пределами Новосибирской области подпрограммы "Семья и дети" государственной программы Новосибирской области "Социальная поддержка в Новосибирской области"</w:t>
            </w:r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9,50</w:t>
            </w:r>
            <w:r/>
          </w:p>
        </w:tc>
      </w:tr>
    </w:tbl>
    <w:tbl>
      <w:tblPr>
        <w:tblStyle w:val="774"/>
        <w:tblW w:w="0" w:type="auto"/>
        <w:tblLayout w:type="fixed"/>
        <w:tblLook w:val="04A0" w:firstRow="1" w:lastRow="0" w:firstColumn="1" w:lastColumn="0" w:noHBand="0" w:noVBand="1"/>
      </w:tblPr>
      <w:tblGrid>
        <w:gridCol w:w="2070"/>
        <w:gridCol w:w="4365"/>
        <w:gridCol w:w="3068"/>
        <w:gridCol w:w="2551"/>
        <w:gridCol w:w="2835"/>
      </w:tblGrid>
      <w:tr>
        <w:trPr>
          <w:trHeight w:val="795"/>
        </w:trPr>
        <w:tc>
          <w:tcPr>
            <w:shd w:val="clear" w:color="eeece1" w:fill="eeece1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070" w:type="dxa"/>
            <w:textDirection w:val="lrTb"/>
            <w:noWrap w:val="false"/>
          </w:tcPr>
          <w:p>
            <w:r>
              <w:t xml:space="preserve"> </w:t>
            </w:r>
            <w:r/>
          </w:p>
        </w:tc>
        <w:tc>
          <w:tcPr>
            <w:shd w:val="clear" w:color="eeece1" w:fill="eeece1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4365" w:type="dxa"/>
            <w:textDirection w:val="lrTb"/>
            <w:noWrap w:val="false"/>
          </w:tcPr>
          <w:p>
            <w:r>
              <w:t xml:space="preserve">Итого доходов</w:t>
            </w:r>
            <w:r/>
          </w:p>
        </w:tc>
        <w:tc>
          <w:tcPr>
            <w:shd w:val="clear" w:color="eeece1" w:fill="eeece1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068" w:type="dxa"/>
            <w:textDirection w:val="lrTb"/>
            <w:noWrap w:val="false"/>
          </w:tcPr>
          <w:p>
            <w:r>
              <w:t xml:space="preserve">2006798,5+18254=  2025052,5</w:t>
            </w:r>
            <w:r/>
          </w:p>
        </w:tc>
        <w:tc>
          <w:tcPr>
            <w:shd w:val="clear" w:color="eeece1" w:fill="eeece1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551" w:type="dxa"/>
            <w:textDirection w:val="lrTb"/>
            <w:noWrap w:val="false"/>
          </w:tcPr>
          <w:p>
            <w:r>
              <w:t xml:space="preserve">1497996,6 +35836,99=  1 533 833,59</w:t>
            </w:r>
            <w:r/>
          </w:p>
        </w:tc>
        <w:tc>
          <w:tcPr>
            <w:shd w:val="clear" w:color="eeece1" w:fill="eeece1"/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2835" w:type="dxa"/>
            <w:textDirection w:val="lrTb"/>
            <w:noWrap w:val="false"/>
          </w:tcPr>
          <w:p>
            <w:r>
              <w:t xml:space="preserve">1497246,5+88,1=  1497334,60</w:t>
            </w:r>
            <w:r/>
          </w:p>
        </w:tc>
      </w:tr>
    </w:tbl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Изменения в распределение бюджетных ассигнований по разделам, подразделам и  целевым статьям.</w:t>
      </w:r>
      <w:r/>
    </w:p>
    <w:tbl>
      <w:tblPr>
        <w:tblStyle w:val="774"/>
        <w:tblW w:w="0" w:type="auto"/>
        <w:tblLook w:val="04A0" w:firstRow="1" w:lastRow="0" w:firstColumn="1" w:lastColumn="0" w:noHBand="0" w:noVBand="1"/>
      </w:tblPr>
      <w:tblGrid>
        <w:gridCol w:w="5205"/>
        <w:gridCol w:w="720"/>
        <w:gridCol w:w="600"/>
        <w:gridCol/>
        <w:gridCol w:w="1935"/>
        <w:gridCol w:w="720"/>
        <w:gridCol/>
        <w:gridCol/>
        <w:gridCol w:w="1740"/>
        <w:gridCol w:w="1410"/>
        <w:gridCol w:w="1440"/>
        <w:gridCol w:w="1950"/>
      </w:tblGrid>
      <w:tr>
        <w:trPr>
          <w:trHeight w:val="375"/>
        </w:trPr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restart"/>
            <w:textDirection w:val="lrTb"/>
            <w:noWrap w:val="false"/>
          </w:tcPr>
          <w:p>
            <w:r>
              <w:t xml:space="preserve">КОСГУ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restart"/>
            <w:textDirection w:val="lrTb"/>
            <w:noWrap w:val="false"/>
          </w:tcPr>
          <w:p>
            <w:r>
              <w:t xml:space="preserve">Сумма на 2024 год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restart"/>
            <w:textDirection w:val="lrTb"/>
            <w:noWrap w:val="false"/>
          </w:tcPr>
          <w:p>
            <w:r>
              <w:t xml:space="preserve">уменьшение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restart"/>
            <w:textDirection w:val="lrTb"/>
            <w:noWrap w:val="false"/>
          </w:tcPr>
          <w:p>
            <w:r>
              <w:t xml:space="preserve">К утверждению</w:t>
            </w:r>
            <w:r/>
            <w:r/>
          </w:p>
        </w:tc>
      </w:tr>
      <w:tr>
        <w:trPr>
          <w:trHeight w:val="840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Наименование</w:t>
            </w: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РЗ</w:t>
            </w: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ПР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КЦСР</w:t>
            </w:r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КВР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Подвид (код)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увеличение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  <w:tr>
        <w:trPr>
          <w:trHeight w:val="3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ОБЩЕГОСУДАРСТВЕННЫЕ ВОПРОСЫ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135060,3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6787,0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2757,7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139089,6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высшего должностного лица субъекта Российской Федерации и муниципального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3 245,4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3 245,4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2 623,2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2 623,2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и содержание аппарта управления представительного органа местного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99.0.00.01990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285,5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оплату труда председателя представительного органа местного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2 337,7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2 337,7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66797,0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856,2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67553,2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55130,6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363,0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55393,6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47584,1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47584,1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6 873,5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363,0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7 236,5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573,0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 и организация деятельности комиссий по делам несовершеннолетних и защите их прав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1 623,7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52,6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1 676,3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1 353,3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52,6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1 405,9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270,4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270,4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2 853,7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88,5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2 942,2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2 366,2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2 454,7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487,5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Решение вопросов в сфере административных правонарушений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0,3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7,8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6,3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0,3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Субвенции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1,2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Уведомительная регистрация коллективных договоров, территориальных соглашений и территориальных отраслевых (межотраслевых) соглашений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393,8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13,3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407,1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341,6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65,5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Сбор информации от поселений, входящих в муниципальный район, необходимой для ведения регистра муниципальных нормативных правовых актов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3,6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107,2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93,7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13,5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деятельности по опеке и попечительству, социальной поддержке детей-сирот и детей, оставшихся без попечения родителей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2 981,1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334,9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3 316,0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2 412,3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334,9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2 747,2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568,8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568,8</w:t>
            </w:r>
            <w:r/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3 703,0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3 703,0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Судебная система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Составление (изменение) списков кандидатов в присяжные заседатели федеральных судов общей юрисдикции в Российской Федерации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финансовых, налоговых и таможенных органов и органов финансового (финансово-бюджетного) надзора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2 938,4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2 938,4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функций контрольно- счетного органа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2697,4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2697,4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государственных (муниципальных) органов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2688,4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2688,4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9,0</w:t>
            </w:r>
            <w:r/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241,0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проведения выборов и референдумов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мероприятий, направленных на подготовку и проведение выборов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502,4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Резервные фонды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878,4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878,4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878,4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878,4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общегосударственные вопросы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58062,9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5930,8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2657,7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61336,0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24004,3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24109,3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21881,3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21881,3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2 101,0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2 101,0</w:t>
            </w:r>
            <w:r/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105,0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22,0</w:t>
            </w:r>
            <w:r/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2116,8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2116,8</w:t>
            </w:r>
            <w:r/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2056,8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2056,8</w:t>
            </w:r>
            <w:r/>
            <w:r/>
          </w:p>
        </w:tc>
      </w:tr>
      <w:tr>
        <w:trPr>
          <w:trHeight w:val="9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28.2.00.70510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Муниципальная программа "Развитие и поддержка территориального общественного самоуправления на территории Колыванского района Новосибирской области на 2024-2026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29.0.00.00000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630,5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территориального общественного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29.0.00.70610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619,8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619,8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реализации территориального общественного самоуправления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29.0.00.S0610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Оценка недвижимости, признание прав и регулирование отношений по муниципальной собственности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12077,0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5825,8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2539,3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15363,6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5707,4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5707,4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12070,3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2539,3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9649,4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Возмещение гражданам ущерба в результате отчуждения (изъятия) принадлежащего им имущества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99.0.00.10071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143,3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118,4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24,9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19090,9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19090,9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ОБОРОНА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3 358,0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3 362,1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Мобилизационная и вневойсковая подготовка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3 358,0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3 362,1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первичного воинского учета органами местного самоуправления поселений, муниципальных и городских округов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203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99.0.00.51180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3 358,0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4,1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3 362,1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БЕЗОПАСНОСТЬ И ПРАВООХРАНИТЕЛЬНАЯ ДЕЯТЕЛЬНОСТЬ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9 102,5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9 212,5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населения и территории от чрезвычайных ситуаций природного и техногенного характера, пожарная безопасность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9 102,5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9 212,5</w:t>
            </w:r>
            <w:r/>
            <w:r/>
          </w:p>
        </w:tc>
      </w:tr>
      <w:tr>
        <w:trPr>
          <w:trHeight w:val="348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осуществление мероприятий по гражданской обороне, защите населения и территории Колыванского района от чрезвычайных ситуаций природного и техногенного характера в рамках реализации муниципальной программы "Организация и осуществление мероприятий по гражданской обороне, защите населения и территории Колыванского района Новосибирской области от чрезвычайных ситуаций природного и техногенного характера на 2022-2024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18.0.00.11010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313,2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313,2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Колыванского центра ЕДДС, системы 112, материально-технического сопровождения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8 789,3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8 899,3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6 261,0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6 261,0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28.1.00.10120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2 528,3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110,0 (с 0702)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2 638,3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НАЦИОНАЛЬНАЯ ЭКОНОМИКА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159584,5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4203,8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155578,7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Сельское хозяйство и рыболовство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1 144,9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1 140,0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 в рамках муниципальной программы "Развитие сельского хозяйства и регулирование сельскохозяйственных рынков сырья и продовольствия в Колыванском 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19.0.00.12020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мероприятий при осуществлении деятельности по обращению с животными без владельцев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1 044,9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4,9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1 040,0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Водное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4198,9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79 976,4</w:t>
            </w:r>
            <w:r/>
            <w:r/>
          </w:p>
        </w:tc>
      </w:tr>
      <w:tr>
        <w:trPr>
          <w:trHeight w:val="6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Поддержание безопасного технического состояния гидротехнических сооружений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198,0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198,0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Защита территорий населенных пунктов Новосибирской области от подтопления и затопления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18.0.00.70870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83 977,3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4198,9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79 778,4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Транспорт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7491,6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7491,6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Осуществление полномочий по организации регулярных перевозок пассажиров и багажа по муниципальным маршрутам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20.0.00.71100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5 276,3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5 276,3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регулярных перевозок пассажиров и багажа по муниципальным маршрутам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20.0.00.S1100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90,3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90,3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Отдельные мероприятия в области автомобильного транспорта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по организации пассажирских перевозок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1975,0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1975,0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Дорожное хозяйство (дорожные фонды)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64295,6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64295,6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развитие муниципальных дорог за счет средств "Дорожного фонда"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19652,5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19652,5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15406,1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15406,1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20.0.00.12050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4 246,5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4 246,5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Устойчивое функционирование автомобильных дорог местного значения и искусственных сооружений на них, а также улично-дорожной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37 574,7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37 574,7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34771,7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34771,7</w:t>
            </w:r>
            <w:r/>
            <w:r/>
          </w:p>
        </w:tc>
      </w:tr>
      <w:tr>
        <w:trPr>
          <w:trHeight w:val="4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20.0.00.70760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2802,9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2802,9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устойчивому функционированию автомобильных дорог местного значения и искусственных сооружений на них, а также улично-дорожной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20.0.00.S0760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636,2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636,2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по инициативным проектам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99.0.00.12060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6432,2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6432,2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национальной экономики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2675,1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2675,1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малого и среднего предпринимательства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02.0.00.70690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407,4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развитию малого и среднего предпринимательства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300,0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02.0.00.S0690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Финансирование расходов на подготовку градостроительной документации и (или) внесение изменений в нее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1 916,5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1 916,5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расходов на подготовку градостроительной документации и (или) внесение изменений в нее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412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99.0.00.S1200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ЖИЛИЩНО-КОММУНАЛЬНОЕ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215213,0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37659,5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177553,5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Жилищное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123460,6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123460,6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жилищного хозяйства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42,4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77720,0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77720,0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296,4</w:t>
            </w:r>
            <w:r/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77423,6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77423,6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многодетных семей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11 500,0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(приобретение на первичном рынке) служебного жилья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31 913,2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31 913,2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жилыми помещениями многодетных семей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605,3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605,3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(приобретению на первичном рынке) служебного жилья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1679,7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1679,7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Коммунальное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78357,8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33272,1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45085,8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2 788,3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2 788,3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Бюджетные инвестиции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740,0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740,0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2 048,3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2 048,3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1700,0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объектов централизованных систем холодного водоснабжения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04.0.00.70640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32 655,0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32655,0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строительству и реконструкции объектов централизованных систем холодного водоснабжения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04.0.00.S0640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564,8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564,8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на поддержку коммунального хозяйство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701,0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501,0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99.0.00.13200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Снабжение населения топливом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5 026,7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5 026,7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2 065,0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2 065,0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2 961,7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2 961,7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функционирования систем тепло-, водоснабжения населения и водоотведения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25 796,4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25 796,4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8415,7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11415,7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17380,7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3000,0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14380,7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бесперебойной работы объектов тепло-, водоснабжения и водоотведения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8 688,5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8 688,5</w:t>
            </w:r>
            <w:r/>
            <w:r/>
          </w:p>
        </w:tc>
      </w:tr>
      <w:tr>
        <w:trPr>
          <w:trHeight w:val="12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4900,0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99.0.00.70600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3788,5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3788,5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снабжению населения топливом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51,3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функционирования систем тепло-, водоснабжения населения и водоотведения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99.0.00.S0490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301,1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248,8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организации бесперебойной работы объектов тепло-, водоснабжения и водоотведения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99.0.00.S0600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84,8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жилищно-коммунального хозяйства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13 394,6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4387,4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9 007,2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3 846,7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3846,7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Строительство и реконструкция котельных, тепловых сетей, включая вынос водопроводов из каналов тепловой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9 481,3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474,1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9 007,2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по строительству и реконструкции котельных, тепловых сетей, включая вынос водопроводов из каналов тепловой сети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505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99.0.00.S0550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66,6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</w:tr>
      <w:tr>
        <w:trPr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ОКРУЖАЮЩЕЙ СРЕДЫ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4 526,00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  <w:r/>
          </w:p>
        </w:tc>
      </w:tr>
      <w:tr>
        <w:trPr>
          <w:trHeight w:val="6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объектов растительного и животного мира и среды их обитания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4 526,00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  <w:r/>
          </w:p>
        </w:tc>
      </w:tr>
      <w:tr>
        <w:trPr>
          <w:trHeight w:val="43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Природоохранные мероприятия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17.0.00.14070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4 526,00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4 526,00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ОБРАЗОВАНИЕ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1107594,7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50429,2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8257,3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1149766,6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Дошкольное образование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202053,1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5815,6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207838,2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функционирования, расширение и модернизация компонентов обеспечения безопасности населения и муниципальной (коммунальной) инфраструктуры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05.0.00.04950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30,0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570,0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обеспечению функционирования, расширению и модернизации компонентов обеспечения безопасности населения и муниципальной (коммунальной) инфраструктуры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05.0.00.S4950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0,5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9,9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1 100,0</w:t>
            </w:r>
            <w:r/>
            <w:r/>
          </w:p>
        </w:tc>
      </w:tr>
      <w:tr>
        <w:trPr>
          <w:trHeight w:val="11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400,0</w:t>
            </w:r>
            <w:r/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19,2</w:t>
            </w:r>
            <w:r/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923,0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923,0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475,5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Детские дошкольные учреждения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37349,2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37349,2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дошкольного образования в муниципальных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113 363,5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5815,6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119 179,1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47812,3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47812,3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Общее образование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780454,1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39519,8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8066,8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811907,1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111 350,0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5545,0(ОБ)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105 805,0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2223,1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2223,1</w:t>
            </w:r>
            <w:r/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1 118,0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1 118,0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2360,0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2360,0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Содействие созданию новых мест в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05.0.00.70920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4 500,0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4 500,0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содействию создания новых мест в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05.0.00.S0920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77,9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77,9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ресурсному обеспечению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1 925,8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95,8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1 830,0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05.0.E1.51722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2 000,0</w:t>
            </w:r>
            <w:r/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обновлению материально-технической базы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05.0.E1.S1722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34,6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34,6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05.0.E2.50980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1 921,3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1 921,3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поддержка отдельных категорий обучающихся в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18 701,6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18 701,6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 в части повышенного районного коэффициента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99.0.00.03350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1 561,7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1 561,7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питанием на льготных условиях детей военнослужащих, обучающихся в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99.0.00.04849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204,9</w:t>
            </w:r>
            <w:r/>
            <w:r/>
          </w:p>
        </w:tc>
      </w:tr>
      <w:tr>
        <w:trPr>
          <w:trHeight w:val="129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Школы-детские сады, школы начальные, неполные средние и средние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95392,1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377,8 (вых.пос.)  2316,0 (замещ.)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110,0(на 0310)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97975,9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99.0.00.53030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20 529,9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20 529,9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основных общеобразовательных программ в муниципальных общеобразовательных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280 934,1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15603,2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296 537,3</w:t>
            </w:r>
            <w:r/>
            <w:r/>
          </w:p>
        </w:tc>
      </w:tr>
      <w:tr>
        <w:trPr>
          <w:trHeight w:val="27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получения образования обучающимися с ограниченными возможностями здоровья в отдельных общеобразовательных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111 425,8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2827,4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114 253,2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101803,5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2316,0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99487,5</w:t>
            </w:r>
            <w:r/>
            <w:r/>
          </w:p>
        </w:tc>
      </w:tr>
      <w:tr>
        <w:trPr>
          <w:trHeight w:val="13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17711,9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17711,9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бесплатного горячего питания обучающихся в муниципальных 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99.0.00.L3040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17 259,4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17 259,4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99.0.EВ.51790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5 130,4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683,5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5 813,9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Дополнительное образование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86186,2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5093,8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91280,0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125,0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4785,0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4785,0</w:t>
            </w:r>
            <w:r/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26235,5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308,8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26544,3</w:t>
            </w:r>
            <w:r/>
            <w:r/>
          </w:p>
        </w:tc>
      </w:tr>
      <w:tr>
        <w:trPr>
          <w:trHeight w:val="11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164,0</w:t>
            </w:r>
            <w:r/>
            <w:r/>
          </w:p>
        </w:tc>
      </w:tr>
      <w:tr>
        <w:trPr>
          <w:trHeight w:val="90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11 558,00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11 558,00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10 219,40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10 219,40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автономным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  <w:r/>
          </w:p>
        </w:tc>
      </w:tr>
      <w:tr>
        <w:trPr>
          <w:trHeight w:val="9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некоммерческим организациям (за исключением государственных (муниципальных) учреждений)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13,3</w:t>
            </w:r>
            <w:r/>
            <w:r/>
          </w:p>
        </w:tc>
      </w:tr>
      <w:tr>
        <w:trPr>
          <w:trHeight w:val="132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1 312,10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1 312,10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48103,7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48103,7</w:t>
            </w:r>
            <w:r/>
            <w:r/>
          </w:p>
        </w:tc>
      </w:tr>
      <w:tr>
        <w:trPr>
          <w:trHeight w:val="7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3611,7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3611,7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44492,0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44492,0</w:t>
            </w:r>
            <w:r/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Профессиональная подготовка, переподготовка и повышение квалификации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25,1</w:t>
            </w:r>
            <w:r/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обеспечение выполнения функций муниципальных органов власти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21,5</w:t>
            </w:r>
            <w:r/>
            <w:r/>
          </w:p>
        </w:tc>
      </w:tr>
      <w:tr>
        <w:trPr>
          <w:trHeight w:val="8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3,6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Молодежная политика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"Молодежь Колыванского района Новосибирской области на 2022-2024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08.0.00.15400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38726,2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38566,2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Ресурсное обеспечение модернизации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05.0.00.03470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3 200,0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160,0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3 040,0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150,0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130,0</w:t>
            </w:r>
            <w:r/>
            <w:r/>
          </w:p>
        </w:tc>
      </w:tr>
      <w:tr>
        <w:trPr>
          <w:trHeight w:val="18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проведения мероприятий по летней занятости и оздоровлению детей в каникулярное время за счет средств муниципальной программы "Развитие образования в Колыванском районе Новосибирской области на 2023-2026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2 378,4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2 378,4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Оздоровление детей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2 748,4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2 748,4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оздоровлению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05.0.00.S0359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47,6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"Комплексная программа профилактики правонарушений в Колыванском районе Новосибирской области на 2021-2025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06.0.00.15420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10,0</w:t>
            </w:r>
            <w:r/>
            <w:r/>
          </w:p>
        </w:tc>
      </w:tr>
      <w:tr>
        <w:trPr>
          <w:trHeight w:val="166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Реализация мероприятий за счет средств муниципальной программы "Патриотическое воспитание граждан Российской Федерации на территории Колыванского района Новосибирской области на 2024-2026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27.0.00.15800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Расходы, направленные на содержание учреждений, обеспечивающих предоставление муниципальных услуг в сфере образования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25452,3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25452,3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20122,6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20122,6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5304,7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5304,7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99.0.00.15500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25,0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проезда детей и совершеннолетних граждан-сопровождающих организованные группы детей к месту отдыха и обратно при условии нахождения места отдыха за пределами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709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99.0.00.70079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9,5</w:t>
            </w:r>
            <w:r/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4600,0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КУЛЬТУРА, КИНЕМАТОГРАФИЯ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100345,9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10796,5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111142,4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Культура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100345,9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10796,5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111142,4</w:t>
            </w:r>
            <w:r/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направленные на создание условий для сохранения и развития культурного потенциала сел и деревень за счет средств муниципальной программы "Развитие культуры в Колыванском районе Новосибирской области на 2023-2025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420,0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Стипендии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10.0.00.16000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Комплектование библиотечных фондов муниципальных общедоступных библиотек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10.0.00.70770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319,1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319,1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Развитие и укрепление материально-технической базы домов культуры в населенных пунктах с числом жителей до 50 тысяч человек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10.0.00.L4670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1 127,9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1 127,9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10.0.00.L5190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298,3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Софинансирование мероприятий по комплектованию библиотечных фондов муниципальных общедоступных библиотек Новосибирской области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10.0.00.S0770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5,6</w:t>
            </w:r>
            <w:r/>
            <w:r/>
          </w:p>
        </w:tc>
      </w:tr>
      <w:tr>
        <w:trPr>
          <w:trHeight w:val="3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Государственная поддержка отрасли культуры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212,0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212,0</w:t>
            </w:r>
            <w:r/>
            <w:r/>
          </w:p>
        </w:tc>
      </w:tr>
      <w:tr>
        <w:trPr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  <w:r/>
          </w:p>
        </w:tc>
      </w:tr>
      <w:tr>
        <w:trPr>
          <w:trHeight w:val="3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10.0.A2.55190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106,0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106,0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"Профилактика терроризма и противодействие экстремизму на территории Колыванского района Новосибирской области на 2024-2026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11.0.00.15430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библиотек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12 483,1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419,2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12 902,3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муниципальных музеев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13 285,2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13 366,8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11 718,7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11 718,7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844,5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844,5</w:t>
            </w:r>
            <w:r/>
            <w:r/>
          </w:p>
        </w:tc>
      </w:tr>
      <w:tr>
        <w:trPr>
          <w:trHeight w:val="6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81,6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81,6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722,0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722,0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содержание и обеспечение деятельности Центра развития культуры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31564,2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10275,7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41839,9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27 871,8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10025,0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37 896,8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3207,3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3207,3</w:t>
            </w:r>
            <w:r/>
            <w:r/>
          </w:p>
        </w:tc>
      </w:tr>
      <w:tr>
        <w:trPr>
          <w:trHeight w:val="5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Социальные выплаты гражданам, кроме публичных нормативных социальных выплат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250,7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250,7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99.0.00.16400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485,1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485,1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40580,6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40580,6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11080,9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11080,9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450,0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Субсидии бюджетным учреждениям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08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801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29049,7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29049,7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СОЦИАЛЬНАЯ ПОЛИТИКА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123388,9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1547,8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124933,0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Пенсионное обеспечение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230,1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2 351,5</w:t>
            </w:r>
            <w:r/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Доплаты к пенсиям муниципальных служащих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99.0.00.17100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2 121,4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230,1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2 351,5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обслуживание населения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53 189,3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1317,7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54 507,0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социального обслуживания отдельных категорий граждан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99.0.00.70180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47 052,7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1317,7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48 370,4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 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3 807,9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3 807,9</w:t>
            </w:r>
            <w:r/>
            <w:r/>
          </w:p>
        </w:tc>
      </w:tr>
      <w:tr>
        <w:trPr>
          <w:trHeight w:val="900"/>
        </w:trPr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системы долговременного ухода за гражданами пожилого возраста и инвалидами, за счет средств резервного фонда Правительства Российской Федерации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1002</w:t>
            </w:r>
            <w:r/>
            <w:r/>
          </w:p>
        </w:tc>
        <w:tc>
          <w:tcPr>
            <w:shd w:val="clear" w:color="ffffff" w:fill="ffffff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99.0.P3.5163F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2 328,7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2 328,7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Социальное обеспечение населения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жильем молодых семей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03.0.00.L4979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1239,3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1239,3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Охрана семьи и детства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66765,2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66765,2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приемной семье на содержание подопечных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99.1.00.70289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16 158,9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16 158,9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Выплата вознаграждения приемным родителям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99.2.00.70289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24 081,0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24 081,0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Выплаты семьям опекунов на содержание подопечных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99.3.00.70289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8 929,1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8 929,1</w:t>
            </w:r>
            <w:r/>
            <w:r/>
          </w:p>
        </w:tc>
      </w:tr>
      <w:tr>
        <w:trPr>
          <w:trHeight w:val="9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жилыми помещениями детей-сирот и детей, оставшихся без попечения родителей, лиц из их числа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99.0.00.70139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360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17 596,2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17 596,2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Другие вопросы в области социальной политики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3,6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Организация и проведение мероприятий с целью расширения прав инвалидов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99.0.00.70340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24,0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1,2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22,8</w:t>
            </w:r>
            <w:r/>
            <w:r/>
          </w:p>
        </w:tc>
      </w:tr>
      <w:tr>
        <w:trPr>
          <w:trHeight w:val="172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Создание социально-экономических, организационных условий для повышения качества жизни граждан пожилого возраста, степени их социальной защищенности, содействие их активному участию в жизни общества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1006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99.0.00.70820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49,6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2,4 (ОБ)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47,2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ФИЗИЧЕСКАЯ КУЛЬТУРА И СПОРТ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55676,8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55676,8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Массовый спорт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37206,4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37206,4</w:t>
            </w:r>
            <w:r/>
            <w:r/>
          </w:p>
        </w:tc>
      </w:tr>
      <w:tr>
        <w:trPr>
          <w:trHeight w:val="144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Мероприятия, направленные на реализацию муниципальной программы "Развитие физической культуры и спорта в Колыванском районе Новосибирской области на 2022-2024 годы"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09.0.00.18100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750,0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750,0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Учреждения, обеспечивающие предоставление услуг в сфере физической культуры и спорта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29656,0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29656,0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Расходы на выплаты персоналу казенных учреждений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20910,8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20910,8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закупки товаров, работ и услуг для обеспечения государственных (муниципальных) нужд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240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5103,2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5103,2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Уплата налогов, сборов и иных платежей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99.0.00.18200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850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3642,0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3642,0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мероприятия в области физической культуры и спорта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99.0.00.18400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2 025,0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2 025,0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4775,4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4775,4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Спорт высших достижений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18470,4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18470,4</w:t>
            </w:r>
            <w:r/>
            <w:r/>
          </w:p>
        </w:tc>
      </w:tr>
      <w:tr>
        <w:trPr>
          <w:trHeight w:val="9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функционирования модели персонифицированного финансирования дополнительного образования детей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05.0.00.07040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2232,4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2232,4</w:t>
            </w:r>
            <w:r/>
            <w:r/>
          </w:p>
        </w:tc>
      </w:tr>
      <w:tr>
        <w:trPr>
          <w:trHeight w:val="6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05.0.00.70510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270,0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270,0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Учреждения по внешкольной работе с детьми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99.0.00.15300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4604,3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4604,3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1103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610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11363,8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11363,8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И МУНИЦИПАЛЬНОГО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2 400,0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государственного внутреннего и муниципального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2 400,0</w:t>
            </w:r>
            <w:r/>
            <w:r/>
          </w:p>
        </w:tc>
      </w:tr>
      <w:tr>
        <w:trPr>
          <w:trHeight w:val="3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Обслуживание муниципального долга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1301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99.0.00.19100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730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2 400,0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2 400,0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МЕЖБЮДЖЕТНЫЕ ТРАНСФЕРТЫ ОБЩЕГО ХАРАКТЕРА БЮДЖЕТАМ БЮДЖЕТНОЙ СИСТЕМЫ РОССИЙСКОЙ ФЕДЕРАЦИИ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128965,8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2879,7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131845,5</w:t>
            </w:r>
            <w:r/>
            <w:r/>
          </w:p>
        </w:tc>
      </w:tr>
      <w:tr>
        <w:trPr>
          <w:trHeight w:val="87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Дотации на выравнивание бюджетной обеспеченности субъектов Российской Федерации и муниципальных образований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Расчет и предоставление дотаций бюджетам поселений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1401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99.0.00.70220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67 949,2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67 949,2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Прочие межбюджетные трансферты общего характера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61016,6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2879,7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63896,3</w:t>
            </w:r>
            <w:r/>
            <w:r/>
          </w:p>
        </w:tc>
      </w:tr>
      <w:tr>
        <w:trPr>
          <w:trHeight w:val="11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Мероприятия за счет средств муниципальной программы "Предупреждение и профилактика распространения наркомании в Колыванском районе Новосибирской области"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15.0.00.15410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20,0</w:t>
            </w:r>
            <w:r/>
            <w:r/>
          </w:p>
        </w:tc>
      </w:tr>
      <w:tr>
        <w:trPr>
          <w:trHeight w:val="6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18.0.00.10060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921,0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921,0</w:t>
            </w:r>
            <w:r/>
            <w:r/>
          </w:p>
        </w:tc>
      </w:tr>
      <w:tr>
        <w:trPr>
          <w:trHeight w:val="91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18.0.00.19400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398,3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563,7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961,9</w:t>
            </w:r>
            <w:r/>
            <w:r/>
          </w:p>
        </w:tc>
      </w:tr>
      <w:tr>
        <w:trPr>
          <w:trHeight w:val="67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Резервный фонд администрации Колыванского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99.0.00.10060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1 228,4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1 228,4</w:t>
            </w:r>
            <w:r/>
            <w:r/>
          </w:p>
        </w:tc>
      </w:tr>
      <w:tr>
        <w:trPr>
          <w:trHeight w:val="94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Иные межбюджетные трансферты бюджетам поселений за счет собственных средств муниципального района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99.0.00.19400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700,0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700,0</w:t>
            </w:r>
            <w:r/>
            <w:r/>
          </w:p>
        </w:tc>
      </w:tr>
      <w:tr>
        <w:trPr>
          <w:trHeight w:val="58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Обеспечение сбалансированности местных бюджетов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14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>
              <w:t xml:space="preserve">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1403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>
              <w:t xml:space="preserve">99.0.00.70510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>
              <w:t xml:space="preserve">540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>
              <w:t xml:space="preserve">000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57748,9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2316,0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60064,9</w:t>
            </w:r>
            <w:r/>
            <w:r/>
          </w:p>
        </w:tc>
      </w:tr>
      <w:tr>
        <w:trPr>
          <w:trHeight w:val="25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5205" w:type="dxa"/>
            <w:textDirection w:val="lrTb"/>
            <w:noWrap w:val="false"/>
          </w:tcPr>
          <w:p>
            <w:r>
              <w:t xml:space="preserve">Итого расходов</w:t>
            </w:r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0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non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35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72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0" w:type="dxa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40" w:type="dxa"/>
            <w:textDirection w:val="lrTb"/>
            <w:noWrap w:val="false"/>
          </w:tcPr>
          <w:p>
            <w:r>
              <w:t xml:space="preserve">2045216,3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10" w:type="dxa"/>
            <w:textDirection w:val="lrTb"/>
            <w:noWrap w:val="false"/>
          </w:tcPr>
          <w:p>
            <w:r>
              <w:t xml:space="preserve">72752,3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440" w:type="dxa"/>
            <w:textDirection w:val="lrTb"/>
            <w:noWrap w:val="false"/>
          </w:tcPr>
          <w:p>
            <w:r>
              <w:t xml:space="preserve">52881,8</w:t>
            </w:r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950" w:type="dxa"/>
            <w:textDirection w:val="lrTb"/>
            <w:noWrap w:val="false"/>
          </w:tcPr>
          <w:p>
            <w:r>
              <w:t xml:space="preserve">2065086,8</w:t>
            </w:r>
            <w:r/>
            <w:r/>
          </w:p>
        </w:tc>
      </w:tr>
    </w:tbl>
    <w:p>
      <w:pPr>
        <w:pStyle w:val="926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8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9" w:hanging="180"/>
        <w:tabs>
          <w:tab w:val="num" w:pos="6829" w:leader="none"/>
        </w:tabs>
      </w:pPr>
    </w:lvl>
  </w:abstractNum>
  <w:abstractNum w:abstractNumId="2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3">
    <w:multiLevelType w:val="hybridMultilevel"/>
    <w:lvl w:ilvl="0">
      <w:start w:val="15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4">
    <w:multiLevelType w:val="hybridMultilevel"/>
    <w:lvl w:ilvl="0">
      <w:start w:val="0"/>
      <w:numFmt w:val="bullet"/>
      <w:isLgl w:val="false"/>
      <w:suff w:val="tab"/>
      <w:lvlText w:val=""/>
      <w:lvlJc w:val="left"/>
      <w:pPr>
        <w:pStyle w:val="918"/>
        <w:ind w:left="720" w:hanging="360"/>
        <w:tabs>
          <w:tab w:val="num" w:pos="720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8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8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8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8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8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8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8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8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080" w:hanging="360"/>
        <w:tabs>
          <w:tab w:val="num" w:pos="108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8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8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8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8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8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8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8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8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8"/>
        <w:ind w:left="1440" w:hanging="144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020" w:hanging="420"/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19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2520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4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080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50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5640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6600" w:hanging="1800"/>
      </w:p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pStyle w:val="918"/>
        <w:ind w:left="720" w:hanging="360"/>
        <w:tabs>
          <w:tab w:val="num" w:pos="72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"/>
      <w:lvlJc w:val="left"/>
      <w:pPr>
        <w:pStyle w:val="918"/>
        <w:ind w:left="1440" w:hanging="360"/>
        <w:tabs>
          <w:tab w:val="num" w:pos="1440" w:leader="none"/>
        </w:tabs>
      </w:pPr>
      <w:rPr>
        <w:rFonts w:ascii="Wingdings" w:hAnsi="Wingdings"/>
      </w:rPr>
    </w:lvl>
    <w:lvl w:ilvl="2">
      <w:start w:val="1"/>
      <w:numFmt w:val="bullet"/>
      <w:isLgl w:val="false"/>
      <w:suff w:val="tab"/>
      <w:lvlText w:val=""/>
      <w:lvlJc w:val="left"/>
      <w:pPr>
        <w:pStyle w:val="918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"/>
      <w:lvlJc w:val="left"/>
      <w:pPr>
        <w:pStyle w:val="918"/>
        <w:ind w:left="2880" w:hanging="360"/>
        <w:tabs>
          <w:tab w:val="num" w:pos="2880" w:leader="none"/>
        </w:tabs>
      </w:pPr>
      <w:rPr>
        <w:rFonts w:ascii="Wingdings" w:hAnsi="Wingdings"/>
      </w:rPr>
    </w:lvl>
    <w:lvl w:ilvl="4">
      <w:start w:val="1"/>
      <w:numFmt w:val="bullet"/>
      <w:isLgl w:val="false"/>
      <w:suff w:val="tab"/>
      <w:lvlText w:val=""/>
      <w:lvlJc w:val="left"/>
      <w:pPr>
        <w:pStyle w:val="918"/>
        <w:ind w:left="3600" w:hanging="360"/>
        <w:tabs>
          <w:tab w:val="num" w:pos="3600" w:leader="none"/>
        </w:tabs>
      </w:pPr>
      <w:rPr>
        <w:rFonts w:ascii="Wingdings" w:hAnsi="Wingdings"/>
      </w:rPr>
    </w:lvl>
    <w:lvl w:ilvl="5">
      <w:start w:val="1"/>
      <w:numFmt w:val="bullet"/>
      <w:isLgl w:val="false"/>
      <w:suff w:val="tab"/>
      <w:lvlText w:val=""/>
      <w:lvlJc w:val="left"/>
      <w:pPr>
        <w:pStyle w:val="918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"/>
      <w:lvlJc w:val="left"/>
      <w:pPr>
        <w:pStyle w:val="918"/>
        <w:ind w:left="5040" w:hanging="360"/>
        <w:tabs>
          <w:tab w:val="num" w:pos="5040" w:leader="none"/>
        </w:tabs>
      </w:pPr>
      <w:rPr>
        <w:rFonts w:ascii="Wingdings" w:hAnsi="Wingdings"/>
      </w:rPr>
    </w:lvl>
    <w:lvl w:ilvl="7">
      <w:start w:val="1"/>
      <w:numFmt w:val="bullet"/>
      <w:isLgl w:val="false"/>
      <w:suff w:val="tab"/>
      <w:lvlText w:val=""/>
      <w:lvlJc w:val="left"/>
      <w:pPr>
        <w:pStyle w:val="918"/>
        <w:ind w:left="5760" w:hanging="360"/>
        <w:tabs>
          <w:tab w:val="num" w:pos="5760" w:leader="none"/>
        </w:tabs>
      </w:pPr>
      <w:rPr>
        <w:rFonts w:ascii="Wingdings" w:hAnsi="Wingdings"/>
      </w:rPr>
    </w:lvl>
    <w:lvl w:ilvl="8">
      <w:start w:val="1"/>
      <w:numFmt w:val="bullet"/>
      <w:isLgl w:val="false"/>
      <w:suff w:val="tab"/>
      <w:lvlText w:val=""/>
      <w:lvlJc w:val="left"/>
      <w:pPr>
        <w:pStyle w:val="918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0" w:firstLine="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12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-"/>
      <w:lvlJc w:val="left"/>
      <w:pPr>
        <w:pStyle w:val="918"/>
        <w:ind w:left="1101" w:hanging="360"/>
        <w:tabs>
          <w:tab w:val="num" w:pos="1101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pStyle w:val="918"/>
        <w:ind w:left="1821" w:hanging="360"/>
        <w:tabs>
          <w:tab w:val="num" w:pos="1821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8"/>
        <w:ind w:left="2541" w:hanging="360"/>
        <w:tabs>
          <w:tab w:val="num" w:pos="2541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8"/>
        <w:ind w:left="3261" w:hanging="360"/>
        <w:tabs>
          <w:tab w:val="num" w:pos="3261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8"/>
        <w:ind w:left="3981" w:hanging="360"/>
        <w:tabs>
          <w:tab w:val="num" w:pos="3981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8"/>
        <w:ind w:left="4701" w:hanging="360"/>
        <w:tabs>
          <w:tab w:val="num" w:pos="4701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8"/>
        <w:ind w:left="5421" w:hanging="360"/>
        <w:tabs>
          <w:tab w:val="num" w:pos="5421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8"/>
        <w:ind w:left="6141" w:hanging="360"/>
        <w:tabs>
          <w:tab w:val="num" w:pos="6141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8"/>
        <w:ind w:left="6861" w:hanging="360"/>
        <w:tabs>
          <w:tab w:val="num" w:pos="6861" w:leader="none"/>
        </w:tabs>
      </w:pPr>
      <w:rPr>
        <w:rFonts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8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9" w:hanging="180"/>
        <w:tabs>
          <w:tab w:val="num" w:pos="6829" w:leader="none"/>
        </w:tabs>
      </w:pPr>
    </w:lvl>
  </w:abstractNum>
  <w:abstractNum w:abstractNumId="15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8"/>
        <w:ind w:left="360" w:hanging="360"/>
      </w:pPr>
    </w:lvl>
    <w:lvl w:ilvl="1">
      <w:start w:val="2"/>
      <w:numFmt w:val="decimal"/>
      <w:isLgl w:val="false"/>
      <w:suff w:val="tab"/>
      <w:lvlText w:val="%1.%2"/>
      <w:lvlJc w:val="left"/>
      <w:pPr>
        <w:pStyle w:val="918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8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8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8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8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8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8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8"/>
        <w:ind w:left="1440" w:hanging="1440"/>
      </w:pPr>
    </w:lvl>
  </w:abstractNum>
  <w:abstractNum w:abstractNumId="17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18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1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065" w:hanging="360"/>
        <w:tabs>
          <w:tab w:val="num" w:pos="1065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5" w:hanging="360"/>
        <w:tabs>
          <w:tab w:val="num" w:pos="1785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5" w:hanging="180"/>
        <w:tabs>
          <w:tab w:val="num" w:pos="2505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5" w:hanging="360"/>
        <w:tabs>
          <w:tab w:val="num" w:pos="3225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5" w:hanging="360"/>
        <w:tabs>
          <w:tab w:val="num" w:pos="3945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5" w:hanging="180"/>
        <w:tabs>
          <w:tab w:val="num" w:pos="4665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5" w:hanging="360"/>
        <w:tabs>
          <w:tab w:val="num" w:pos="5385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5" w:hanging="360"/>
        <w:tabs>
          <w:tab w:val="num" w:pos="6105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5" w:hanging="180"/>
        <w:tabs>
          <w:tab w:val="num" w:pos="6825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8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8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9" w:hanging="180"/>
        <w:tabs>
          <w:tab w:val="num" w:pos="6829" w:leader="none"/>
        </w:tabs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­"/>
      <w:lvlJc w:val="left"/>
      <w:pPr>
        <w:pStyle w:val="918"/>
        <w:ind w:left="1021" w:hanging="312"/>
        <w:tabs>
          <w:tab w:val="num" w:pos="1021" w:leader="none"/>
        </w:tabs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pStyle w:val="918"/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8"/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8"/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8"/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8"/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8"/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8"/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8"/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319" w:hanging="78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61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33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05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77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49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21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93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65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</w:pPr>
    </w:lvl>
  </w:abstractNum>
  <w:abstractNum w:abstractNumId="26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27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pStyle w:val="918"/>
        <w:ind w:left="360" w:hanging="360"/>
        <w:tabs>
          <w:tab w:val="num" w:pos="36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360" w:hanging="360"/>
        <w:tabs>
          <w:tab w:val="num" w:pos="36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1800" w:hanging="1800"/>
        <w:tabs>
          <w:tab w:val="num" w:pos="1800" w:leader="none"/>
        </w:tabs>
      </w:pPr>
    </w:lvl>
  </w:abstractNum>
  <w:abstractNum w:abstractNumId="28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29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pStyle w:val="918"/>
        <w:ind w:left="360" w:hanging="360"/>
      </w:pPr>
    </w:lvl>
    <w:lvl w:ilvl="1">
      <w:start w:val="3"/>
      <w:numFmt w:val="decimal"/>
      <w:isLgl w:val="false"/>
      <w:suff w:val="tab"/>
      <w:lvlText w:val="%1.%2"/>
      <w:lvlJc w:val="left"/>
      <w:pPr>
        <w:pStyle w:val="918"/>
        <w:ind w:left="36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8"/>
        <w:ind w:left="72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8"/>
        <w:ind w:left="720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8"/>
        <w:ind w:left="108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8"/>
        <w:ind w:left="1080" w:hanging="1080"/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8"/>
        <w:ind w:left="144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8"/>
        <w:ind w:left="1440" w:hanging="144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8"/>
        <w:ind w:left="144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33">
    <w:multiLevelType w:val="hybridMultilevel"/>
    <w:lvl w:ilvl="0">
      <w:start w:val="7"/>
      <w:numFmt w:val="decimalZero"/>
      <w:isLgl w:val="false"/>
      <w:suff w:val="tab"/>
      <w:lvlText w:val="%1"/>
      <w:lvlJc w:val="left"/>
      <w:pPr>
        <w:pStyle w:val="918"/>
        <w:ind w:left="780" w:hanging="420"/>
        <w:tabs>
          <w:tab w:val="num" w:pos="78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608" w:hanging="990"/>
        <w:tabs>
          <w:tab w:val="num" w:pos="160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698" w:hanging="360"/>
        <w:tabs>
          <w:tab w:val="num" w:pos="169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418" w:hanging="180"/>
        <w:tabs>
          <w:tab w:val="num" w:pos="24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138" w:hanging="360"/>
        <w:tabs>
          <w:tab w:val="num" w:pos="313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858" w:hanging="360"/>
        <w:tabs>
          <w:tab w:val="num" w:pos="385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578" w:hanging="180"/>
        <w:tabs>
          <w:tab w:val="num" w:pos="45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298" w:hanging="360"/>
        <w:tabs>
          <w:tab w:val="num" w:pos="529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018" w:hanging="360"/>
        <w:tabs>
          <w:tab w:val="num" w:pos="601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738" w:hanging="180"/>
        <w:tabs>
          <w:tab w:val="num" w:pos="6738" w:leader="none"/>
        </w:tabs>
      </w:pPr>
    </w:lvl>
  </w:abstractNum>
  <w:abstractNum w:abstractNumId="3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36">
    <w:multiLevelType w:val="hybridMultilevel"/>
    <w:lvl w:ilvl="0">
      <w:start w:val="16"/>
      <w:numFmt w:val="decimal"/>
      <w:isLgl w:val="false"/>
      <w:suff w:val="tab"/>
      <w:lvlText w:val="%1"/>
      <w:lvlJc w:val="left"/>
      <w:pPr>
        <w:pStyle w:val="918"/>
        <w:ind w:left="480" w:hanging="480"/>
        <w:tabs>
          <w:tab w:val="num" w:pos="480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pStyle w:val="918"/>
        <w:ind w:left="480" w:hanging="480"/>
        <w:tabs>
          <w:tab w:val="num" w:pos="480" w:leader="none"/>
        </w:tabs>
      </w:pPr>
    </w:lvl>
    <w:lvl w:ilvl="2">
      <w:start w:val="1"/>
      <w:numFmt w:val="decimal"/>
      <w:isLgl w:val="false"/>
      <w:suff w:val="tab"/>
      <w:lvlText w:val="%1.%2.%3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pStyle w:val="918"/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9" w:hanging="180"/>
        <w:tabs>
          <w:tab w:val="num" w:pos="6829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260" w:hanging="360"/>
        <w:tabs>
          <w:tab w:val="num" w:pos="1260" w:leader="none"/>
        </w:tabs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080" w:hanging="72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540" w:hanging="360"/>
        <w:tabs>
          <w:tab w:val="num" w:pos="54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260" w:hanging="360"/>
        <w:tabs>
          <w:tab w:val="num" w:pos="126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1980" w:hanging="180"/>
        <w:tabs>
          <w:tab w:val="num" w:pos="198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700" w:hanging="360"/>
        <w:tabs>
          <w:tab w:val="num" w:pos="270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420" w:hanging="360"/>
        <w:tabs>
          <w:tab w:val="num" w:pos="342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140" w:hanging="180"/>
        <w:tabs>
          <w:tab w:val="num" w:pos="414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4860" w:hanging="360"/>
        <w:tabs>
          <w:tab w:val="num" w:pos="486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580" w:hanging="360"/>
        <w:tabs>
          <w:tab w:val="num" w:pos="558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300" w:hanging="180"/>
        <w:tabs>
          <w:tab w:val="num" w:pos="6300" w:leader="none"/>
        </w:tabs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pStyle w:val="918"/>
        <w:ind w:left="1260" w:hanging="360"/>
        <w:tabs>
          <w:tab w:val="num" w:pos="1260" w:leader="none"/>
        </w:tabs>
      </w:pPr>
      <w:rPr>
        <w:rFonts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pStyle w:val="918"/>
        <w:ind w:left="1980" w:hanging="360"/>
        <w:tabs>
          <w:tab w:val="num" w:pos="198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pStyle w:val="918"/>
        <w:ind w:left="2700" w:hanging="360"/>
        <w:tabs>
          <w:tab w:val="num" w:pos="27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pStyle w:val="918"/>
        <w:ind w:left="3420" w:hanging="360"/>
        <w:tabs>
          <w:tab w:val="num" w:pos="34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pStyle w:val="918"/>
        <w:ind w:left="4140" w:hanging="360"/>
        <w:tabs>
          <w:tab w:val="num" w:pos="414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pStyle w:val="918"/>
        <w:ind w:left="4860" w:hanging="360"/>
        <w:tabs>
          <w:tab w:val="num" w:pos="48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pStyle w:val="918"/>
        <w:ind w:left="5580" w:hanging="360"/>
        <w:tabs>
          <w:tab w:val="num" w:pos="55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pStyle w:val="918"/>
        <w:ind w:left="6300" w:hanging="360"/>
        <w:tabs>
          <w:tab w:val="num" w:pos="630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pStyle w:val="918"/>
        <w:ind w:left="7020" w:hanging="360"/>
        <w:tabs>
          <w:tab w:val="num" w:pos="7020" w:leader="none"/>
        </w:tabs>
      </w:pPr>
      <w:rPr>
        <w:rFonts w:ascii="Wingdings" w:hAnsi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1684" w:hanging="975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9" w:hanging="180"/>
      </w:pPr>
    </w:lvl>
  </w:abstractNum>
  <w:abstractNum w:abstractNumId="43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4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pStyle w:val="918"/>
        <w:ind w:left="555" w:hanging="555"/>
        <w:tabs>
          <w:tab w:val="num" w:pos="55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720" w:hanging="720"/>
        <w:tabs>
          <w:tab w:val="num" w:pos="72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080" w:hanging="1080"/>
        <w:tabs>
          <w:tab w:val="num" w:pos="108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440" w:hanging="1440"/>
        <w:tabs>
          <w:tab w:val="num" w:pos="144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1800" w:hanging="1800"/>
        <w:tabs>
          <w:tab w:val="num" w:pos="180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1800" w:hanging="1800"/>
        <w:tabs>
          <w:tab w:val="num" w:pos="180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160" w:hanging="2160"/>
        <w:tabs>
          <w:tab w:val="num" w:pos="2160" w:leader="none"/>
        </w:tabs>
      </w:p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8"/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687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720" w:hanging="360"/>
        <w:tabs>
          <w:tab w:val="num" w:pos="72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480" w:hanging="180"/>
        <w:tabs>
          <w:tab w:val="num" w:pos="6480" w:leader="none"/>
        </w:tabs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pStyle w:val="918"/>
        <w:ind w:left="495" w:hanging="495"/>
        <w:tabs>
          <w:tab w:val="num" w:pos="495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pStyle w:val="918"/>
        <w:ind w:left="1429" w:hanging="720"/>
        <w:tabs>
          <w:tab w:val="num" w:pos="1429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pStyle w:val="918"/>
        <w:ind w:left="2138" w:hanging="720"/>
        <w:tabs>
          <w:tab w:val="num" w:pos="2138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3207" w:hanging="1080"/>
        <w:tabs>
          <w:tab w:val="num" w:pos="3207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3916" w:hanging="1080"/>
        <w:tabs>
          <w:tab w:val="num" w:pos="3916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4985" w:hanging="1440"/>
        <w:tabs>
          <w:tab w:val="num" w:pos="4985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6054" w:hanging="1800"/>
        <w:tabs>
          <w:tab w:val="num" w:pos="6054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6763" w:hanging="1800"/>
        <w:tabs>
          <w:tab w:val="num" w:pos="6763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7832" w:hanging="2160"/>
        <w:tabs>
          <w:tab w:val="num" w:pos="7832" w:leader="none"/>
        </w:tabs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pStyle w:val="918"/>
        <w:ind w:left="1069" w:hanging="360"/>
        <w:tabs>
          <w:tab w:val="num" w:pos="1069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pStyle w:val="918"/>
        <w:ind w:left="1789" w:hanging="360"/>
        <w:tabs>
          <w:tab w:val="num" w:pos="1789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pStyle w:val="918"/>
        <w:ind w:left="2509" w:hanging="180"/>
        <w:tabs>
          <w:tab w:val="num" w:pos="2509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pStyle w:val="918"/>
        <w:ind w:left="3229" w:hanging="360"/>
        <w:tabs>
          <w:tab w:val="num" w:pos="3229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pStyle w:val="918"/>
        <w:ind w:left="3949" w:hanging="360"/>
        <w:tabs>
          <w:tab w:val="num" w:pos="3949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pStyle w:val="918"/>
        <w:ind w:left="4669" w:hanging="180"/>
        <w:tabs>
          <w:tab w:val="num" w:pos="4669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pStyle w:val="918"/>
        <w:ind w:left="5389" w:hanging="360"/>
        <w:tabs>
          <w:tab w:val="num" w:pos="5389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pStyle w:val="918"/>
        <w:ind w:left="6109" w:hanging="360"/>
        <w:tabs>
          <w:tab w:val="num" w:pos="6109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pStyle w:val="918"/>
        <w:ind w:left="6829" w:hanging="180"/>
        <w:tabs>
          <w:tab w:val="num" w:pos="6829" w:leader="none"/>
        </w:tabs>
      </w:pPr>
    </w:lvl>
  </w:abstractNum>
  <w:abstractNum w:abstractNumId="4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pStyle w:val="918"/>
        <w:ind w:left="0" w:firstLine="709"/>
      </w:pPr>
    </w:lvl>
    <w:lvl w:ilvl="1">
      <w:start w:val="1"/>
      <w:numFmt w:val="decimal"/>
      <w:isLgl w:val="false"/>
      <w:suff w:val="space"/>
      <w:lvlText w:val="%1.%2."/>
      <w:lvlJc w:val="left"/>
      <w:pPr>
        <w:pStyle w:val="918"/>
        <w:ind w:left="0" w:firstLine="567"/>
      </w:pPr>
      <w:rPr>
        <w:b w:val="0"/>
      </w:rPr>
    </w:lvl>
    <w:lvl w:ilvl="2">
      <w:start w:val="1"/>
      <w:numFmt w:val="decimal"/>
      <w:isLgl w:val="false"/>
      <w:suff w:val="space"/>
      <w:lvlText w:val="%1.%2.%3."/>
      <w:lvlJc w:val="left"/>
      <w:pPr>
        <w:pStyle w:val="918"/>
        <w:ind w:left="0" w:firstLine="567"/>
      </w:pPr>
    </w:lvl>
    <w:lvl w:ilvl="3">
      <w:start w:val="1"/>
      <w:numFmt w:val="decimal"/>
      <w:isLgl w:val="false"/>
      <w:suff w:val="tab"/>
      <w:lvlText w:val="%1.%2.%3.%4."/>
      <w:lvlJc w:val="left"/>
      <w:pPr>
        <w:pStyle w:val="918"/>
        <w:ind w:left="1440" w:hanging="1080"/>
        <w:tabs>
          <w:tab w:val="num" w:pos="144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pStyle w:val="918"/>
        <w:ind w:left="1440" w:hanging="1080"/>
        <w:tabs>
          <w:tab w:val="num" w:pos="144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pStyle w:val="918"/>
        <w:ind w:left="1800" w:hanging="1440"/>
        <w:tabs>
          <w:tab w:val="num" w:pos="180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pStyle w:val="918"/>
        <w:ind w:left="2160" w:hanging="1800"/>
        <w:tabs>
          <w:tab w:val="num" w:pos="216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pStyle w:val="918"/>
        <w:ind w:left="2160" w:hanging="1800"/>
        <w:tabs>
          <w:tab w:val="num" w:pos="216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pStyle w:val="918"/>
        <w:ind w:left="2520" w:hanging="2160"/>
        <w:tabs>
          <w:tab w:val="num" w:pos="2520" w:leader="none"/>
        </w:tabs>
      </w:p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num w:numId="1">
    <w:abstractNumId w:val="20"/>
  </w:num>
  <w:num w:numId="2">
    <w:abstractNumId w:val="48"/>
  </w:num>
  <w:num w:numId="3">
    <w:abstractNumId w:val="1"/>
  </w:num>
  <w:num w:numId="4">
    <w:abstractNumId w:val="14"/>
  </w:num>
  <w:num w:numId="5">
    <w:abstractNumId w:val="22"/>
  </w:num>
  <w:num w:numId="6">
    <w:abstractNumId w:val="26"/>
  </w:num>
  <w:num w:numId="7">
    <w:abstractNumId w:val="43"/>
  </w:num>
  <w:num w:numId="8">
    <w:abstractNumId w:val="3"/>
  </w:num>
  <w:num w:numId="9">
    <w:abstractNumId w:val="29"/>
  </w:num>
  <w:num w:numId="10">
    <w:abstractNumId w:val="0"/>
  </w:num>
  <w:num w:numId="11">
    <w:abstractNumId w:val="15"/>
  </w:num>
  <w:num w:numId="12">
    <w:abstractNumId w:val="18"/>
  </w:num>
  <w:num w:numId="13">
    <w:abstractNumId w:val="33"/>
  </w:num>
  <w:num w:numId="14">
    <w:abstractNumId w:val="35"/>
  </w:num>
  <w:num w:numId="15">
    <w:abstractNumId w:val="28"/>
  </w:num>
  <w:num w:numId="16">
    <w:abstractNumId w:val="12"/>
  </w:num>
  <w:num w:numId="17">
    <w:abstractNumId w:val="17"/>
  </w:num>
  <w:num w:numId="18">
    <w:abstractNumId w:val="41"/>
  </w:num>
  <w:num w:numId="19">
    <w:abstractNumId w:val="19"/>
  </w:num>
  <w:num w:numId="20">
    <w:abstractNumId w:val="2"/>
  </w:num>
  <w:num w:numId="21">
    <w:abstractNumId w:val="36"/>
  </w:num>
  <w:num w:numId="22">
    <w:abstractNumId w:val="44"/>
  </w:num>
  <w:num w:numId="23">
    <w:abstractNumId w:val="27"/>
  </w:num>
  <w:num w:numId="24">
    <w:abstractNumId w:val="8"/>
  </w:num>
  <w:num w:numId="25">
    <w:abstractNumId w:val="46"/>
  </w:num>
  <w:num w:numId="26">
    <w:abstractNumId w:val="39"/>
  </w:num>
  <w:num w:numId="27">
    <w:abstractNumId w:val="5"/>
  </w:num>
  <w:num w:numId="28">
    <w:abstractNumId w:val="34"/>
  </w:num>
  <w:num w:numId="29">
    <w:abstractNumId w:val="6"/>
  </w:num>
  <w:num w:numId="30">
    <w:abstractNumId w:val="23"/>
  </w:num>
  <w:num w:numId="31">
    <w:abstractNumId w:val="40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9"/>
  </w:num>
  <w:num w:numId="34">
    <w:abstractNumId w:val="11"/>
  </w:num>
  <w:num w:numId="35">
    <w:abstractNumId w:val="37"/>
  </w:num>
  <w:num w:numId="36">
    <w:abstractNumId w:val="47"/>
  </w:num>
  <w:num w:numId="37">
    <w:abstractNumId w:val="21"/>
  </w:num>
  <w:num w:numId="38">
    <w:abstractNumId w:val="13"/>
  </w:num>
  <w:num w:numId="39">
    <w:abstractNumId w:val="10"/>
  </w:num>
  <w:num w:numId="40">
    <w:abstractNumId w:val="30"/>
  </w:num>
  <w:num w:numId="41">
    <w:abstractNumId w:val="32"/>
  </w:num>
  <w:num w:numId="42">
    <w:abstractNumId w:val="4"/>
  </w:num>
  <w:num w:numId="43">
    <w:abstractNumId w:val="24"/>
  </w:num>
  <w:num w:numId="44">
    <w:abstractNumId w:val="9"/>
  </w:num>
  <w:num w:numId="45">
    <w:abstractNumId w:val="45"/>
  </w:num>
  <w:num w:numId="46">
    <w:abstractNumId w:val="16"/>
  </w:num>
  <w:num w:numId="47">
    <w:abstractNumId w:val="25"/>
  </w:num>
  <w:num w:numId="48">
    <w:abstractNumId w:val="31"/>
  </w:num>
  <w:num w:numId="49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"/>
  </w:num>
  <w:num w:numId="51">
    <w:abstractNumId w:val="50"/>
  </w:num>
  <w:num w:numId="52">
    <w:abstractNumId w:val="51"/>
  </w:num>
  <w:num w:numId="53">
    <w:abstractNumId w:val="5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40">
    <w:name w:val="Heading 1"/>
    <w:basedOn w:val="918"/>
    <w:next w:val="918"/>
    <w:link w:val="741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41">
    <w:name w:val="Heading 1 Char"/>
    <w:link w:val="740"/>
    <w:uiPriority w:val="9"/>
    <w:rPr>
      <w:rFonts w:ascii="Arial" w:hAnsi="Arial" w:eastAsia="Arial" w:cs="Arial"/>
      <w:sz w:val="40"/>
      <w:szCs w:val="40"/>
    </w:rPr>
  </w:style>
  <w:style w:type="paragraph" w:styleId="742">
    <w:name w:val="Heading 2"/>
    <w:basedOn w:val="918"/>
    <w:next w:val="918"/>
    <w:link w:val="74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43">
    <w:name w:val="Heading 2 Char"/>
    <w:link w:val="742"/>
    <w:uiPriority w:val="9"/>
    <w:rPr>
      <w:rFonts w:ascii="Arial" w:hAnsi="Arial" w:eastAsia="Arial" w:cs="Arial"/>
      <w:sz w:val="34"/>
    </w:rPr>
  </w:style>
  <w:style w:type="paragraph" w:styleId="744">
    <w:name w:val="Heading 3"/>
    <w:basedOn w:val="918"/>
    <w:next w:val="918"/>
    <w:link w:val="74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45">
    <w:name w:val="Heading 3 Char"/>
    <w:link w:val="744"/>
    <w:uiPriority w:val="9"/>
    <w:rPr>
      <w:rFonts w:ascii="Arial" w:hAnsi="Arial" w:eastAsia="Arial" w:cs="Arial"/>
      <w:sz w:val="30"/>
      <w:szCs w:val="30"/>
    </w:rPr>
  </w:style>
  <w:style w:type="paragraph" w:styleId="746">
    <w:name w:val="Heading 4"/>
    <w:basedOn w:val="918"/>
    <w:next w:val="918"/>
    <w:link w:val="74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7">
    <w:name w:val="Heading 4 Char"/>
    <w:link w:val="746"/>
    <w:uiPriority w:val="9"/>
    <w:rPr>
      <w:rFonts w:ascii="Arial" w:hAnsi="Arial" w:eastAsia="Arial" w:cs="Arial"/>
      <w:b/>
      <w:bCs/>
      <w:sz w:val="26"/>
      <w:szCs w:val="26"/>
    </w:rPr>
  </w:style>
  <w:style w:type="paragraph" w:styleId="748">
    <w:name w:val="Heading 5"/>
    <w:basedOn w:val="918"/>
    <w:next w:val="918"/>
    <w:link w:val="74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49">
    <w:name w:val="Heading 5 Char"/>
    <w:link w:val="748"/>
    <w:uiPriority w:val="9"/>
    <w:rPr>
      <w:rFonts w:ascii="Arial" w:hAnsi="Arial" w:eastAsia="Arial" w:cs="Arial"/>
      <w:b/>
      <w:bCs/>
      <w:sz w:val="24"/>
      <w:szCs w:val="24"/>
    </w:rPr>
  </w:style>
  <w:style w:type="paragraph" w:styleId="750">
    <w:name w:val="Heading 6"/>
    <w:basedOn w:val="918"/>
    <w:next w:val="918"/>
    <w:link w:val="75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1">
    <w:name w:val="Heading 6 Char"/>
    <w:link w:val="750"/>
    <w:uiPriority w:val="9"/>
    <w:rPr>
      <w:rFonts w:ascii="Arial" w:hAnsi="Arial" w:eastAsia="Arial" w:cs="Arial"/>
      <w:b/>
      <w:bCs/>
      <w:sz w:val="22"/>
      <w:szCs w:val="22"/>
    </w:rPr>
  </w:style>
  <w:style w:type="paragraph" w:styleId="752">
    <w:name w:val="Heading 7"/>
    <w:basedOn w:val="918"/>
    <w:next w:val="918"/>
    <w:link w:val="75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3">
    <w:name w:val="Heading 7 Char"/>
    <w:link w:val="75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54">
    <w:name w:val="Heading 8"/>
    <w:basedOn w:val="918"/>
    <w:next w:val="918"/>
    <w:link w:val="75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5">
    <w:name w:val="Heading 8 Char"/>
    <w:link w:val="754"/>
    <w:uiPriority w:val="9"/>
    <w:rPr>
      <w:rFonts w:ascii="Arial" w:hAnsi="Arial" w:eastAsia="Arial" w:cs="Arial"/>
      <w:i/>
      <w:iCs/>
      <w:sz w:val="22"/>
      <w:szCs w:val="22"/>
    </w:rPr>
  </w:style>
  <w:style w:type="paragraph" w:styleId="756">
    <w:name w:val="Heading 9"/>
    <w:basedOn w:val="918"/>
    <w:next w:val="918"/>
    <w:link w:val="75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7">
    <w:name w:val="Heading 9 Char"/>
    <w:link w:val="756"/>
    <w:uiPriority w:val="9"/>
    <w:rPr>
      <w:rFonts w:ascii="Arial" w:hAnsi="Arial" w:eastAsia="Arial" w:cs="Arial"/>
      <w:i/>
      <w:iCs/>
      <w:sz w:val="21"/>
      <w:szCs w:val="21"/>
    </w:rPr>
  </w:style>
  <w:style w:type="paragraph" w:styleId="758">
    <w:name w:val="List Paragraph"/>
    <w:basedOn w:val="918"/>
    <w:uiPriority w:val="34"/>
    <w:qFormat/>
    <w:pPr>
      <w:contextualSpacing/>
      <w:ind w:left="720"/>
    </w:pPr>
  </w:style>
  <w:style w:type="paragraph" w:styleId="759">
    <w:name w:val="No Spacing"/>
    <w:uiPriority w:val="1"/>
    <w:qFormat/>
    <w:pPr>
      <w:spacing w:before="0" w:after="0" w:line="240" w:lineRule="auto"/>
    </w:pPr>
  </w:style>
  <w:style w:type="paragraph" w:styleId="760">
    <w:name w:val="Title"/>
    <w:basedOn w:val="918"/>
    <w:next w:val="918"/>
    <w:link w:val="76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61">
    <w:name w:val="Title Char"/>
    <w:link w:val="760"/>
    <w:uiPriority w:val="10"/>
    <w:rPr>
      <w:sz w:val="48"/>
      <w:szCs w:val="48"/>
    </w:rPr>
  </w:style>
  <w:style w:type="paragraph" w:styleId="762">
    <w:name w:val="Subtitle"/>
    <w:basedOn w:val="918"/>
    <w:next w:val="918"/>
    <w:link w:val="763"/>
    <w:uiPriority w:val="11"/>
    <w:qFormat/>
    <w:pPr>
      <w:spacing w:before="200" w:after="200"/>
    </w:pPr>
    <w:rPr>
      <w:sz w:val="24"/>
      <w:szCs w:val="24"/>
    </w:rPr>
  </w:style>
  <w:style w:type="character" w:styleId="763">
    <w:name w:val="Subtitle Char"/>
    <w:link w:val="762"/>
    <w:uiPriority w:val="11"/>
    <w:rPr>
      <w:sz w:val="24"/>
      <w:szCs w:val="24"/>
    </w:rPr>
  </w:style>
  <w:style w:type="paragraph" w:styleId="764">
    <w:name w:val="Quote"/>
    <w:basedOn w:val="918"/>
    <w:next w:val="918"/>
    <w:link w:val="765"/>
    <w:uiPriority w:val="29"/>
    <w:qFormat/>
    <w:pPr>
      <w:ind w:left="720" w:right="720"/>
    </w:pPr>
    <w:rPr>
      <w:i/>
    </w:rPr>
  </w:style>
  <w:style w:type="character" w:styleId="765">
    <w:name w:val="Quote Char"/>
    <w:link w:val="764"/>
    <w:uiPriority w:val="29"/>
    <w:rPr>
      <w:i/>
    </w:rPr>
  </w:style>
  <w:style w:type="paragraph" w:styleId="766">
    <w:name w:val="Intense Quote"/>
    <w:basedOn w:val="918"/>
    <w:next w:val="918"/>
    <w:link w:val="7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7">
    <w:name w:val="Intense Quote Char"/>
    <w:link w:val="766"/>
    <w:uiPriority w:val="30"/>
    <w:rPr>
      <w:i/>
    </w:rPr>
  </w:style>
  <w:style w:type="paragraph" w:styleId="768">
    <w:name w:val="Header"/>
    <w:basedOn w:val="918"/>
    <w:link w:val="76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9">
    <w:name w:val="Header Char"/>
    <w:link w:val="768"/>
    <w:uiPriority w:val="99"/>
  </w:style>
  <w:style w:type="paragraph" w:styleId="770">
    <w:name w:val="Footer"/>
    <w:basedOn w:val="918"/>
    <w:link w:val="77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71">
    <w:name w:val="Footer Char"/>
    <w:link w:val="770"/>
    <w:uiPriority w:val="99"/>
  </w:style>
  <w:style w:type="paragraph" w:styleId="772">
    <w:name w:val="Caption"/>
    <w:basedOn w:val="918"/>
    <w:next w:val="91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3">
    <w:name w:val="Caption Char"/>
    <w:basedOn w:val="772"/>
    <w:link w:val="770"/>
    <w:uiPriority w:val="99"/>
  </w:style>
  <w:style w:type="table" w:styleId="774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5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6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7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8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9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81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3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4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6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8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9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3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4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5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6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17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18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19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0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21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2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23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8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9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0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41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42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3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4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59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0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1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2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3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4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5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6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7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8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9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0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71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72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73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74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75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76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77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78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79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0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1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2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3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4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5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6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7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8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9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90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91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92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3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4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5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6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7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8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9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00">
    <w:name w:val="Hyperlink"/>
    <w:uiPriority w:val="99"/>
    <w:unhideWhenUsed/>
    <w:rPr>
      <w:color w:val="0000ff" w:themeColor="hyperlink"/>
      <w:u w:val="single"/>
    </w:rPr>
  </w:style>
  <w:style w:type="paragraph" w:styleId="901">
    <w:name w:val="footnote text"/>
    <w:basedOn w:val="918"/>
    <w:link w:val="902"/>
    <w:uiPriority w:val="99"/>
    <w:semiHidden/>
    <w:unhideWhenUsed/>
    <w:pPr>
      <w:spacing w:after="40" w:line="240" w:lineRule="auto"/>
    </w:pPr>
    <w:rPr>
      <w:sz w:val="18"/>
    </w:rPr>
  </w:style>
  <w:style w:type="character" w:styleId="902">
    <w:name w:val="Footnote Text Char"/>
    <w:link w:val="901"/>
    <w:uiPriority w:val="99"/>
    <w:rPr>
      <w:sz w:val="18"/>
    </w:rPr>
  </w:style>
  <w:style w:type="character" w:styleId="903">
    <w:name w:val="footnote reference"/>
    <w:uiPriority w:val="99"/>
    <w:unhideWhenUsed/>
    <w:rPr>
      <w:vertAlign w:val="superscript"/>
    </w:rPr>
  </w:style>
  <w:style w:type="paragraph" w:styleId="904">
    <w:name w:val="endnote text"/>
    <w:basedOn w:val="918"/>
    <w:link w:val="905"/>
    <w:uiPriority w:val="99"/>
    <w:semiHidden/>
    <w:unhideWhenUsed/>
    <w:pPr>
      <w:spacing w:after="0" w:line="240" w:lineRule="auto"/>
    </w:pPr>
    <w:rPr>
      <w:sz w:val="20"/>
    </w:rPr>
  </w:style>
  <w:style w:type="character" w:styleId="905">
    <w:name w:val="Endnote Text Char"/>
    <w:link w:val="904"/>
    <w:uiPriority w:val="99"/>
    <w:rPr>
      <w:sz w:val="20"/>
    </w:rPr>
  </w:style>
  <w:style w:type="character" w:styleId="906">
    <w:name w:val="endnote reference"/>
    <w:uiPriority w:val="99"/>
    <w:semiHidden/>
    <w:unhideWhenUsed/>
    <w:rPr>
      <w:vertAlign w:val="superscript"/>
    </w:rPr>
  </w:style>
  <w:style w:type="paragraph" w:styleId="907">
    <w:name w:val="toc 1"/>
    <w:basedOn w:val="918"/>
    <w:next w:val="918"/>
    <w:uiPriority w:val="39"/>
    <w:unhideWhenUsed/>
    <w:pPr>
      <w:ind w:left="0" w:right="0" w:firstLine="0"/>
      <w:spacing w:after="57"/>
    </w:pPr>
  </w:style>
  <w:style w:type="paragraph" w:styleId="908">
    <w:name w:val="toc 2"/>
    <w:basedOn w:val="918"/>
    <w:next w:val="918"/>
    <w:uiPriority w:val="39"/>
    <w:unhideWhenUsed/>
    <w:pPr>
      <w:ind w:left="283" w:right="0" w:firstLine="0"/>
      <w:spacing w:after="57"/>
    </w:pPr>
  </w:style>
  <w:style w:type="paragraph" w:styleId="909">
    <w:name w:val="toc 3"/>
    <w:basedOn w:val="918"/>
    <w:next w:val="918"/>
    <w:uiPriority w:val="39"/>
    <w:unhideWhenUsed/>
    <w:pPr>
      <w:ind w:left="567" w:right="0" w:firstLine="0"/>
      <w:spacing w:after="57"/>
    </w:pPr>
  </w:style>
  <w:style w:type="paragraph" w:styleId="910">
    <w:name w:val="toc 4"/>
    <w:basedOn w:val="918"/>
    <w:next w:val="918"/>
    <w:uiPriority w:val="39"/>
    <w:unhideWhenUsed/>
    <w:pPr>
      <w:ind w:left="850" w:right="0" w:firstLine="0"/>
      <w:spacing w:after="57"/>
    </w:pPr>
  </w:style>
  <w:style w:type="paragraph" w:styleId="911">
    <w:name w:val="toc 5"/>
    <w:basedOn w:val="918"/>
    <w:next w:val="918"/>
    <w:uiPriority w:val="39"/>
    <w:unhideWhenUsed/>
    <w:pPr>
      <w:ind w:left="1134" w:right="0" w:firstLine="0"/>
      <w:spacing w:after="57"/>
    </w:pPr>
  </w:style>
  <w:style w:type="paragraph" w:styleId="912">
    <w:name w:val="toc 6"/>
    <w:basedOn w:val="918"/>
    <w:next w:val="918"/>
    <w:uiPriority w:val="39"/>
    <w:unhideWhenUsed/>
    <w:pPr>
      <w:ind w:left="1417" w:right="0" w:firstLine="0"/>
      <w:spacing w:after="57"/>
    </w:pPr>
  </w:style>
  <w:style w:type="paragraph" w:styleId="913">
    <w:name w:val="toc 7"/>
    <w:basedOn w:val="918"/>
    <w:next w:val="918"/>
    <w:uiPriority w:val="39"/>
    <w:unhideWhenUsed/>
    <w:pPr>
      <w:ind w:left="1701" w:right="0" w:firstLine="0"/>
      <w:spacing w:after="57"/>
    </w:pPr>
  </w:style>
  <w:style w:type="paragraph" w:styleId="914">
    <w:name w:val="toc 8"/>
    <w:basedOn w:val="918"/>
    <w:next w:val="918"/>
    <w:uiPriority w:val="39"/>
    <w:unhideWhenUsed/>
    <w:pPr>
      <w:ind w:left="1984" w:right="0" w:firstLine="0"/>
      <w:spacing w:after="57"/>
    </w:pPr>
  </w:style>
  <w:style w:type="paragraph" w:styleId="915">
    <w:name w:val="toc 9"/>
    <w:basedOn w:val="918"/>
    <w:next w:val="918"/>
    <w:uiPriority w:val="39"/>
    <w:unhideWhenUsed/>
    <w:pPr>
      <w:ind w:left="2268" w:right="0" w:firstLine="0"/>
      <w:spacing w:after="57"/>
    </w:pPr>
  </w:style>
  <w:style w:type="paragraph" w:styleId="916">
    <w:name w:val="TOC Heading"/>
    <w:uiPriority w:val="39"/>
    <w:unhideWhenUsed/>
  </w:style>
  <w:style w:type="paragraph" w:styleId="917">
    <w:name w:val="table of figures"/>
    <w:basedOn w:val="918"/>
    <w:next w:val="918"/>
    <w:uiPriority w:val="99"/>
    <w:unhideWhenUsed/>
    <w:pPr>
      <w:spacing w:after="0" w:afterAutospacing="0"/>
    </w:pPr>
  </w:style>
  <w:style w:type="paragraph" w:styleId="918" w:default="1">
    <w:name w:val="Normal"/>
    <w:next w:val="918"/>
    <w:link w:val="918"/>
    <w:qFormat/>
    <w:rPr>
      <w:sz w:val="28"/>
      <w:lang w:val="ru-RU" w:eastAsia="ru-RU" w:bidi="ar-SA"/>
    </w:rPr>
  </w:style>
  <w:style w:type="character" w:styleId="919">
    <w:name w:val="Основной шрифт абзаца"/>
    <w:next w:val="919"/>
    <w:link w:val="918"/>
    <w:semiHidden/>
  </w:style>
  <w:style w:type="table" w:styleId="920">
    <w:name w:val="Обычная таблица"/>
    <w:next w:val="920"/>
    <w:link w:val="918"/>
    <w:semiHidden/>
    <w:tblPr/>
  </w:style>
  <w:style w:type="numbering" w:styleId="921">
    <w:name w:val="Нет списка"/>
    <w:next w:val="921"/>
    <w:link w:val="918"/>
    <w:uiPriority w:val="99"/>
    <w:semiHidden/>
  </w:style>
  <w:style w:type="paragraph" w:styleId="922">
    <w:name w:val="Знак"/>
    <w:basedOn w:val="918"/>
    <w:next w:val="922"/>
    <w:link w:val="918"/>
    <w:uiPriority w:val="9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23">
    <w:name w:val="Основной текст, Знак, Знак1 Знак,Основной текст1,bt,Основной текст Знак,Знак1 Знак"/>
    <w:basedOn w:val="918"/>
    <w:next w:val="923"/>
    <w:link w:val="924"/>
    <w:pPr>
      <w:jc w:val="both"/>
    </w:pPr>
  </w:style>
  <w:style w:type="character" w:styleId="924">
    <w:name w:val="Основной текст Знак1, Знак Знак, Знак1 Знак Знак,Основной текст1 Знак,bt Знак,Основной текст Знак Знак,Знак1 Знак Знак,Знак Знак"/>
    <w:next w:val="924"/>
    <w:link w:val="923"/>
    <w:rPr>
      <w:sz w:val="28"/>
      <w:lang w:val="ru-RU" w:eastAsia="ru-RU" w:bidi="ar-SA"/>
    </w:rPr>
  </w:style>
  <w:style w:type="table" w:styleId="925">
    <w:name w:val="Сетка таблицы"/>
    <w:basedOn w:val="920"/>
    <w:next w:val="925"/>
    <w:link w:val="918"/>
    <w:uiPriority w:val="39"/>
    <w:tblPr/>
  </w:style>
  <w:style w:type="paragraph" w:styleId="926">
    <w:name w:val="Верхний колонтитул"/>
    <w:basedOn w:val="918"/>
    <w:next w:val="926"/>
    <w:link w:val="942"/>
    <w:pPr>
      <w:ind w:firstLine="709"/>
      <w:jc w:val="both"/>
      <w:tabs>
        <w:tab w:val="center" w:pos="4536" w:leader="none"/>
        <w:tab w:val="right" w:pos="9072" w:leader="none"/>
      </w:tabs>
    </w:pPr>
    <w:rPr>
      <w:szCs w:val="28"/>
    </w:rPr>
  </w:style>
  <w:style w:type="paragraph" w:styleId="927">
    <w:name w:val="Основной текст с отступом 2"/>
    <w:basedOn w:val="918"/>
    <w:next w:val="927"/>
    <w:link w:val="918"/>
    <w:pPr>
      <w:ind w:left="283"/>
      <w:spacing w:after="120" w:line="480" w:lineRule="auto"/>
    </w:pPr>
    <w:rPr>
      <w:sz w:val="24"/>
      <w:szCs w:val="24"/>
    </w:rPr>
  </w:style>
  <w:style w:type="paragraph" w:styleId="928">
    <w:name w:val="Заголовок,Название"/>
    <w:basedOn w:val="918"/>
    <w:next w:val="928"/>
    <w:link w:val="940"/>
    <w:uiPriority w:val="10"/>
    <w:qFormat/>
    <w:pPr>
      <w:jc w:val="center"/>
    </w:pPr>
    <w:rPr>
      <w:b/>
      <w:sz w:val="24"/>
    </w:rPr>
  </w:style>
  <w:style w:type="paragraph" w:styleId="929">
    <w:name w:val="ConsNormal"/>
    <w:next w:val="929"/>
    <w:link w:val="918"/>
    <w:pPr>
      <w:ind w:right="19772" w:firstLine="720"/>
      <w:widowControl w:val="off"/>
    </w:pPr>
    <w:rPr>
      <w:rFonts w:ascii="Arial" w:hAnsi="Arial" w:cs="Arial"/>
      <w:lang w:val="ru-RU" w:eastAsia="ru-RU" w:bidi="ar-SA"/>
    </w:rPr>
  </w:style>
  <w:style w:type="paragraph" w:styleId="930">
    <w:name w:val="Нижний колонтитул"/>
    <w:basedOn w:val="918"/>
    <w:next w:val="930"/>
    <w:link w:val="941"/>
    <w:uiPriority w:val="99"/>
    <w:pPr>
      <w:tabs>
        <w:tab w:val="center" w:pos="4677" w:leader="none"/>
        <w:tab w:val="right" w:pos="9355" w:leader="none"/>
      </w:tabs>
    </w:pPr>
  </w:style>
  <w:style w:type="character" w:styleId="931">
    <w:name w:val="Номер страницы"/>
    <w:basedOn w:val="919"/>
    <w:next w:val="931"/>
    <w:link w:val="918"/>
  </w:style>
  <w:style w:type="paragraph" w:styleId="932">
    <w:name w:val="ConsNonformat"/>
    <w:next w:val="932"/>
    <w:link w:val="918"/>
    <w:pPr>
      <w:ind w:right="19772"/>
      <w:widowControl w:val="off"/>
    </w:pPr>
    <w:rPr>
      <w:rFonts w:ascii="Courier New" w:hAnsi="Courier New" w:cs="Courier New"/>
      <w:lang w:val="ru-RU" w:eastAsia="ru-RU" w:bidi="ar-SA"/>
    </w:rPr>
  </w:style>
  <w:style w:type="paragraph" w:styleId="933">
    <w:name w:val="ConsTitle"/>
    <w:next w:val="933"/>
    <w:link w:val="918"/>
    <w:pPr>
      <w:ind w:right="19772"/>
      <w:widowControl w:val="off"/>
    </w:pPr>
    <w:rPr>
      <w:rFonts w:ascii="Arial" w:hAnsi="Arial" w:cs="Arial"/>
      <w:b/>
      <w:bCs/>
      <w:sz w:val="16"/>
      <w:szCs w:val="16"/>
      <w:lang w:val="ru-RU" w:eastAsia="ru-RU" w:bidi="ar-SA"/>
    </w:rPr>
  </w:style>
  <w:style w:type="paragraph" w:styleId="934">
    <w:name w:val="Normal1"/>
    <w:next w:val="934"/>
    <w:link w:val="918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paragraph" w:styleId="935">
    <w:name w:val="ConsPlusNormal"/>
    <w:next w:val="935"/>
    <w:link w:val="982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936">
    <w:name w:val="ConsPlusNonformat"/>
    <w:next w:val="936"/>
    <w:link w:val="918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937">
    <w:name w:val="ConsPlusTitle"/>
    <w:next w:val="937"/>
    <w:link w:val="918"/>
    <w:pPr>
      <w:widowControl w:val="off"/>
    </w:pPr>
    <w:rPr>
      <w:rFonts w:ascii="Arial" w:hAnsi="Arial" w:cs="Arial"/>
      <w:b/>
      <w:bCs/>
      <w:lang w:val="ru-RU" w:eastAsia="ru-RU" w:bidi="ar-SA"/>
    </w:rPr>
  </w:style>
  <w:style w:type="paragraph" w:styleId="938">
    <w:name w:val="Оглавление 2"/>
    <w:basedOn w:val="918"/>
    <w:next w:val="918"/>
    <w:link w:val="918"/>
    <w:pPr>
      <w:ind w:left="238"/>
      <w:jc w:val="center"/>
      <w:spacing w:line="360" w:lineRule="auto"/>
      <w:widowControl w:val="off"/>
      <w:tabs>
        <w:tab w:val="left" w:pos="708" w:leader="none"/>
        <w:tab w:val="left" w:pos="1416" w:leader="none"/>
        <w:tab w:val="left" w:pos="2124" w:leader="none"/>
        <w:tab w:val="left" w:pos="2832" w:leader="none"/>
        <w:tab w:val="left" w:pos="3540" w:leader="none"/>
        <w:tab w:val="left" w:pos="4248" w:leader="none"/>
        <w:tab w:val="left" w:pos="4956" w:leader="none"/>
        <w:tab w:val="left" w:pos="5664" w:leader="none"/>
        <w:tab w:val="left" w:pos="7440" w:leader="none"/>
      </w:tabs>
    </w:pPr>
    <w:rPr>
      <w:sz w:val="24"/>
      <w:szCs w:val="24"/>
    </w:rPr>
  </w:style>
  <w:style w:type="paragraph" w:styleId="939">
    <w:name w:val=" Знак Знак1 Знак Знак"/>
    <w:basedOn w:val="918"/>
    <w:next w:val="939"/>
    <w:link w:val="919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40">
    <w:name w:val="Название Знак"/>
    <w:next w:val="940"/>
    <w:link w:val="928"/>
    <w:rPr>
      <w:b/>
      <w:sz w:val="24"/>
    </w:rPr>
  </w:style>
  <w:style w:type="character" w:styleId="941">
    <w:name w:val="Нижний колонтитул Знак"/>
    <w:next w:val="941"/>
    <w:link w:val="930"/>
    <w:uiPriority w:val="99"/>
    <w:rPr>
      <w:sz w:val="28"/>
    </w:rPr>
  </w:style>
  <w:style w:type="character" w:styleId="942">
    <w:name w:val="Верхний колонтитул Знак"/>
    <w:next w:val="942"/>
    <w:link w:val="926"/>
    <w:uiPriority w:val="99"/>
    <w:rPr>
      <w:sz w:val="28"/>
      <w:szCs w:val="28"/>
    </w:rPr>
  </w:style>
  <w:style w:type="paragraph" w:styleId="943">
    <w:name w:val="Текст выноски"/>
    <w:basedOn w:val="918"/>
    <w:next w:val="943"/>
    <w:link w:val="944"/>
    <w:rPr>
      <w:rFonts w:ascii="Tahoma" w:hAnsi="Tahoma" w:cs="Tahoma"/>
      <w:sz w:val="16"/>
      <w:szCs w:val="16"/>
    </w:rPr>
  </w:style>
  <w:style w:type="character" w:styleId="944">
    <w:name w:val="Текст выноски Знак"/>
    <w:next w:val="944"/>
    <w:link w:val="943"/>
    <w:rPr>
      <w:rFonts w:ascii="Tahoma" w:hAnsi="Tahoma" w:cs="Tahoma"/>
      <w:sz w:val="16"/>
      <w:szCs w:val="16"/>
    </w:rPr>
  </w:style>
  <w:style w:type="paragraph" w:styleId="945">
    <w:name w:val="Знак Знак1 Знак Знак"/>
    <w:basedOn w:val="918"/>
    <w:next w:val="945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6">
    <w:name w:val=" Знак Знак1 Знак Знак Знак Знак"/>
    <w:basedOn w:val="918"/>
    <w:next w:val="946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7">
    <w:name w:val=" Знак Знак1"/>
    <w:basedOn w:val="918"/>
    <w:next w:val="947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8">
    <w:name w:val=" Знак Знак1 Знак Знак Знак Знак Знак Знак Знак Знак"/>
    <w:basedOn w:val="918"/>
    <w:next w:val="948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49">
    <w:name w:val=" Знак Знак4"/>
    <w:basedOn w:val="918"/>
    <w:next w:val="949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0">
    <w:name w:val="Выделение"/>
    <w:next w:val="950"/>
    <w:link w:val="918"/>
    <w:qFormat/>
    <w:rPr>
      <w:rFonts w:cs="Times New Roman"/>
      <w:i/>
      <w:iCs/>
    </w:rPr>
  </w:style>
  <w:style w:type="paragraph" w:styleId="951">
    <w:name w:val=" Знак Знак4 Знак Знак Знак Знак1 Знак Знак Знак Знак"/>
    <w:basedOn w:val="918"/>
    <w:next w:val="951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2">
    <w:name w:val=" Знак Знак4 Знак Знак Знак Знак"/>
    <w:basedOn w:val="918"/>
    <w:next w:val="952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3">
    <w:name w:val=" Знак Знак4 Знак Знак"/>
    <w:basedOn w:val="918"/>
    <w:next w:val="953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4">
    <w:name w:val=" Знак Знак4 Знак Знак Знак Знак1"/>
    <w:basedOn w:val="918"/>
    <w:next w:val="954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5">
    <w:name w:val=" Знак Знак5"/>
    <w:basedOn w:val="918"/>
    <w:next w:val="955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56">
    <w:name w:val="Знак Знак Знак2 Знак"/>
    <w:basedOn w:val="918"/>
    <w:next w:val="956"/>
    <w:link w:val="918"/>
    <w:pPr>
      <w:jc w:val="right"/>
      <w:spacing w:after="160" w:line="240" w:lineRule="exact"/>
      <w:widowControl w:val="off"/>
    </w:pPr>
    <w:rPr>
      <w:sz w:val="20"/>
      <w:lang w:val="en-GB" w:eastAsia="en-US"/>
    </w:rPr>
  </w:style>
  <w:style w:type="paragraph" w:styleId="957">
    <w:name w:val="1"/>
    <w:basedOn w:val="918"/>
    <w:next w:val="957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958">
    <w:name w:val="Знак примечания"/>
    <w:next w:val="958"/>
    <w:link w:val="918"/>
    <w:uiPriority w:val="99"/>
    <w:unhideWhenUsed/>
    <w:rPr>
      <w:sz w:val="16"/>
      <w:szCs w:val="16"/>
    </w:rPr>
  </w:style>
  <w:style w:type="character" w:styleId="959">
    <w:name w:val="Основной текст (2)_"/>
    <w:next w:val="959"/>
    <w:link w:val="960"/>
    <w:rPr>
      <w:sz w:val="26"/>
      <w:szCs w:val="26"/>
      <w:shd w:val="clear" w:color="auto" w:fill="ffffff"/>
    </w:rPr>
  </w:style>
  <w:style w:type="paragraph" w:styleId="960">
    <w:name w:val="Основной текст (2)"/>
    <w:basedOn w:val="918"/>
    <w:next w:val="960"/>
    <w:link w:val="959"/>
    <w:pPr>
      <w:jc w:val="center"/>
      <w:spacing w:line="313" w:lineRule="exact"/>
      <w:shd w:val="clear" w:color="auto" w:fill="ffffff"/>
      <w:widowControl w:val="off"/>
    </w:pPr>
    <w:rPr>
      <w:sz w:val="26"/>
      <w:szCs w:val="26"/>
    </w:rPr>
  </w:style>
  <w:style w:type="paragraph" w:styleId="961">
    <w:name w:val="Абзац списка"/>
    <w:basedOn w:val="918"/>
    <w:next w:val="961"/>
    <w:link w:val="918"/>
    <w:uiPriority w:val="34"/>
    <w:qFormat/>
    <w:pPr>
      <w:contextualSpacing/>
      <w:ind w:left="720"/>
      <w:spacing w:after="160" w:line="256" w:lineRule="auto"/>
    </w:pPr>
    <w:rPr>
      <w:rFonts w:ascii="Calibri" w:hAnsi="Calibri" w:eastAsia="Calibri"/>
      <w:sz w:val="22"/>
      <w:szCs w:val="22"/>
      <w:lang w:eastAsia="en-US"/>
    </w:rPr>
  </w:style>
  <w:style w:type="paragraph" w:styleId="962">
    <w:name w:val="Текст примечания"/>
    <w:basedOn w:val="918"/>
    <w:next w:val="962"/>
    <w:link w:val="963"/>
    <w:rPr>
      <w:sz w:val="20"/>
    </w:rPr>
  </w:style>
  <w:style w:type="character" w:styleId="963">
    <w:name w:val="Текст примечания Знак"/>
    <w:basedOn w:val="919"/>
    <w:next w:val="963"/>
    <w:link w:val="962"/>
  </w:style>
  <w:style w:type="paragraph" w:styleId="964">
    <w:name w:val="Тема примечания"/>
    <w:basedOn w:val="962"/>
    <w:next w:val="962"/>
    <w:link w:val="965"/>
    <w:rPr>
      <w:b/>
      <w:bCs/>
    </w:rPr>
  </w:style>
  <w:style w:type="character" w:styleId="965">
    <w:name w:val="Тема примечания Знак"/>
    <w:next w:val="965"/>
    <w:link w:val="964"/>
    <w:rPr>
      <w:b/>
      <w:bCs/>
    </w:rPr>
  </w:style>
  <w:style w:type="numbering" w:styleId="966">
    <w:name w:val="Нет списка1"/>
    <w:next w:val="921"/>
    <w:link w:val="918"/>
    <w:uiPriority w:val="99"/>
    <w:semiHidden/>
    <w:unhideWhenUsed/>
  </w:style>
  <w:style w:type="numbering" w:styleId="967">
    <w:name w:val="Нет списка11"/>
    <w:next w:val="921"/>
    <w:link w:val="918"/>
    <w:semiHidden/>
  </w:style>
  <w:style w:type="paragraph" w:styleId="968">
    <w:name w:val="Обычный1"/>
    <w:next w:val="968"/>
    <w:link w:val="918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69">
    <w:name w:val="Сетка таблицы1"/>
    <w:basedOn w:val="920"/>
    <w:next w:val="925"/>
    <w:link w:val="918"/>
    <w:tblPr/>
  </w:style>
  <w:style w:type="paragraph" w:styleId="970">
    <w:name w:val="Знак Знак1"/>
    <w:basedOn w:val="918"/>
    <w:next w:val="970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1">
    <w:name w:val="Знак Знак1 Знак Знак Знак Знак"/>
    <w:basedOn w:val="918"/>
    <w:next w:val="971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2">
    <w:name w:val="Знак Знак1 Знак Знак Знак Знак Знак Знак Знак Знак"/>
    <w:basedOn w:val="918"/>
    <w:next w:val="972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3">
    <w:name w:val="Знак Знак4"/>
    <w:basedOn w:val="918"/>
    <w:next w:val="973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974">
    <w:name w:val="Знак Знак5"/>
    <w:basedOn w:val="918"/>
    <w:next w:val="974"/>
    <w:link w:val="918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numbering" w:styleId="975">
    <w:name w:val="Нет списка111"/>
    <w:next w:val="921"/>
    <w:link w:val="918"/>
    <w:uiPriority w:val="99"/>
    <w:semiHidden/>
    <w:unhideWhenUsed/>
  </w:style>
  <w:style w:type="character" w:styleId="976">
    <w:name w:val="Заголовок Знак"/>
    <w:next w:val="976"/>
    <w:link w:val="918"/>
    <w:uiPriority w:val="10"/>
    <w:rPr>
      <w:rFonts w:ascii="Calibri Light" w:hAnsi="Calibri Light" w:eastAsia="Times New Roman" w:cs="Times New Roman"/>
      <w:spacing w:val="-10"/>
      <w:sz w:val="56"/>
      <w:szCs w:val="56"/>
    </w:rPr>
  </w:style>
  <w:style w:type="numbering" w:styleId="977">
    <w:name w:val="Нет списка2"/>
    <w:next w:val="921"/>
    <w:link w:val="918"/>
    <w:semiHidden/>
  </w:style>
  <w:style w:type="numbering" w:styleId="978">
    <w:name w:val="Нет списка12"/>
    <w:next w:val="921"/>
    <w:link w:val="918"/>
    <w:uiPriority w:val="99"/>
    <w:semiHidden/>
    <w:unhideWhenUsed/>
  </w:style>
  <w:style w:type="numbering" w:styleId="979">
    <w:name w:val="Нет списка3"/>
    <w:next w:val="921"/>
    <w:link w:val="918"/>
    <w:semiHidden/>
  </w:style>
  <w:style w:type="paragraph" w:styleId="980">
    <w:name w:val="Обычный2"/>
    <w:next w:val="980"/>
    <w:link w:val="918"/>
    <w:pPr>
      <w:ind w:firstLine="720"/>
      <w:jc w:val="both"/>
      <w:spacing w:before="60"/>
    </w:pPr>
    <w:rPr>
      <w:rFonts w:ascii="Arial" w:hAnsi="Arial"/>
      <w:sz w:val="24"/>
      <w:lang w:val="ru-RU" w:eastAsia="ru-RU" w:bidi="ar-SA"/>
    </w:rPr>
  </w:style>
  <w:style w:type="table" w:styleId="981">
    <w:name w:val="Сетка таблицы2"/>
    <w:basedOn w:val="920"/>
    <w:next w:val="925"/>
    <w:link w:val="918"/>
    <w:tblPr/>
  </w:style>
  <w:style w:type="character" w:styleId="982">
    <w:name w:val="ConsPlusNormal Знак"/>
    <w:next w:val="982"/>
    <w:link w:val="935"/>
    <w:rPr>
      <w:rFonts w:ascii="Arial" w:hAnsi="Arial" w:cs="Arial"/>
    </w:rPr>
  </w:style>
  <w:style w:type="character" w:styleId="983">
    <w:name w:val="Гиперссылка"/>
    <w:next w:val="983"/>
    <w:link w:val="918"/>
    <w:uiPriority w:val="99"/>
    <w:unhideWhenUsed/>
    <w:rPr>
      <w:color w:val="0563c1"/>
      <w:u w:val="single"/>
    </w:rPr>
  </w:style>
  <w:style w:type="character" w:styleId="984">
    <w:name w:val="Просмотренная гиперссылка"/>
    <w:next w:val="984"/>
    <w:link w:val="918"/>
    <w:uiPriority w:val="99"/>
    <w:unhideWhenUsed/>
    <w:rPr>
      <w:color w:val="954f72"/>
      <w:u w:val="single"/>
    </w:rPr>
  </w:style>
  <w:style w:type="paragraph" w:styleId="985">
    <w:name w:val="msonormal"/>
    <w:basedOn w:val="918"/>
    <w:next w:val="985"/>
    <w:link w:val="918"/>
    <w:pPr>
      <w:spacing w:before="100" w:beforeAutospacing="1" w:after="100" w:afterAutospacing="1"/>
    </w:pPr>
    <w:rPr>
      <w:sz w:val="24"/>
      <w:szCs w:val="24"/>
    </w:rPr>
  </w:style>
  <w:style w:type="paragraph" w:styleId="986">
    <w:name w:val="font5"/>
    <w:basedOn w:val="918"/>
    <w:next w:val="986"/>
    <w:link w:val="918"/>
    <w:pPr>
      <w:spacing w:before="100" w:beforeAutospacing="1" w:after="100" w:afterAutospacing="1"/>
    </w:pPr>
    <w:rPr>
      <w:b/>
      <w:bCs/>
      <w:sz w:val="24"/>
      <w:szCs w:val="24"/>
    </w:rPr>
  </w:style>
  <w:style w:type="paragraph" w:styleId="987">
    <w:name w:val="xl66"/>
    <w:basedOn w:val="918"/>
    <w:next w:val="987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88">
    <w:name w:val="xl67"/>
    <w:basedOn w:val="918"/>
    <w:next w:val="988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89">
    <w:name w:val="xl68"/>
    <w:basedOn w:val="918"/>
    <w:next w:val="989"/>
    <w:link w:val="918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0">
    <w:name w:val="xl69"/>
    <w:basedOn w:val="918"/>
    <w:next w:val="990"/>
    <w:link w:val="918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1">
    <w:name w:val="xl70"/>
    <w:basedOn w:val="918"/>
    <w:next w:val="991"/>
    <w:link w:val="918"/>
    <w:pPr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2">
    <w:name w:val="xl71"/>
    <w:basedOn w:val="918"/>
    <w:next w:val="992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993">
    <w:name w:val="xl72"/>
    <w:basedOn w:val="918"/>
    <w:next w:val="993"/>
    <w:link w:val="918"/>
    <w:pPr>
      <w:jc w:val="right"/>
      <w:spacing w:before="100" w:beforeAutospacing="1" w:after="100" w:afterAutospacing="1"/>
    </w:pPr>
    <w:rPr>
      <w:b/>
      <w:bCs/>
      <w:sz w:val="24"/>
      <w:szCs w:val="24"/>
    </w:rPr>
  </w:style>
  <w:style w:type="paragraph" w:styleId="994">
    <w:name w:val="xl73"/>
    <w:basedOn w:val="918"/>
    <w:next w:val="994"/>
    <w:link w:val="918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5">
    <w:name w:val="xl74"/>
    <w:basedOn w:val="918"/>
    <w:next w:val="995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6">
    <w:name w:val="xl75"/>
    <w:basedOn w:val="918"/>
    <w:next w:val="996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7">
    <w:name w:val="xl76"/>
    <w:basedOn w:val="918"/>
    <w:next w:val="997"/>
    <w:link w:val="918"/>
    <w:pPr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998">
    <w:name w:val="xl77"/>
    <w:basedOn w:val="918"/>
    <w:next w:val="998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999">
    <w:name w:val="xl78"/>
    <w:basedOn w:val="918"/>
    <w:next w:val="999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0">
    <w:name w:val="xl79"/>
    <w:basedOn w:val="918"/>
    <w:next w:val="1000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1">
    <w:name w:val="xl80"/>
    <w:basedOn w:val="918"/>
    <w:next w:val="1001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2">
    <w:name w:val="xl81"/>
    <w:basedOn w:val="918"/>
    <w:next w:val="1002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3">
    <w:name w:val="xl82"/>
    <w:basedOn w:val="918"/>
    <w:next w:val="1003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4">
    <w:name w:val="xl83"/>
    <w:basedOn w:val="918"/>
    <w:next w:val="1004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5">
    <w:name w:val="xl84"/>
    <w:basedOn w:val="918"/>
    <w:next w:val="1005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6">
    <w:name w:val="xl85"/>
    <w:basedOn w:val="918"/>
    <w:next w:val="1006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7">
    <w:name w:val="xl86"/>
    <w:basedOn w:val="918"/>
    <w:next w:val="1007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08">
    <w:name w:val="xl87"/>
    <w:basedOn w:val="918"/>
    <w:next w:val="1008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09">
    <w:name w:val="xl88"/>
    <w:basedOn w:val="918"/>
    <w:next w:val="1009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0">
    <w:name w:val="xl89"/>
    <w:basedOn w:val="918"/>
    <w:next w:val="1010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11">
    <w:name w:val="xl90"/>
    <w:basedOn w:val="918"/>
    <w:next w:val="1011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2">
    <w:name w:val="xl91"/>
    <w:basedOn w:val="918"/>
    <w:next w:val="1012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3">
    <w:name w:val="xl92"/>
    <w:basedOn w:val="918"/>
    <w:next w:val="1013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4">
    <w:name w:val="xl93"/>
    <w:basedOn w:val="918"/>
    <w:next w:val="1014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5">
    <w:name w:val="xl94"/>
    <w:basedOn w:val="918"/>
    <w:next w:val="1015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6">
    <w:name w:val="xl95"/>
    <w:basedOn w:val="918"/>
    <w:next w:val="1016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17">
    <w:name w:val="xl96"/>
    <w:basedOn w:val="918"/>
    <w:next w:val="1017"/>
    <w:link w:val="918"/>
    <w:pPr>
      <w:jc w:val="center"/>
      <w:spacing w:before="100" w:beforeAutospacing="1" w:after="100" w:afterAutospacing="1"/>
    </w:pPr>
    <w:rPr>
      <w:sz w:val="24"/>
      <w:szCs w:val="24"/>
    </w:rPr>
  </w:style>
  <w:style w:type="paragraph" w:styleId="1018">
    <w:name w:val="xl97"/>
    <w:basedOn w:val="918"/>
    <w:next w:val="1018"/>
    <w:link w:val="918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19">
    <w:name w:val="xl98"/>
    <w:basedOn w:val="918"/>
    <w:next w:val="1019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0">
    <w:name w:val="xl99"/>
    <w:basedOn w:val="918"/>
    <w:next w:val="1020"/>
    <w:link w:val="918"/>
    <w:pPr>
      <w:jc w:val="center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1">
    <w:name w:val="xl100"/>
    <w:basedOn w:val="918"/>
    <w:next w:val="1021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2">
    <w:name w:val="xl101"/>
    <w:basedOn w:val="918"/>
    <w:next w:val="1022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3">
    <w:name w:val="xl102"/>
    <w:basedOn w:val="918"/>
    <w:next w:val="1023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4">
    <w:name w:val="xl103"/>
    <w:basedOn w:val="918"/>
    <w:next w:val="1024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25">
    <w:name w:val="xl104"/>
    <w:basedOn w:val="918"/>
    <w:next w:val="1025"/>
    <w:link w:val="918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26">
    <w:name w:val="xl105"/>
    <w:basedOn w:val="918"/>
    <w:next w:val="1026"/>
    <w:link w:val="918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7">
    <w:name w:val="xl106"/>
    <w:basedOn w:val="918"/>
    <w:next w:val="1027"/>
    <w:link w:val="918"/>
    <w:pPr>
      <w:jc w:val="center"/>
      <w:spacing w:before="100" w:beforeAutospacing="1" w:after="100" w:afterAutospacing="1"/>
      <w:pBdr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28">
    <w:name w:val="xl107"/>
    <w:basedOn w:val="918"/>
    <w:next w:val="1028"/>
    <w:link w:val="918"/>
    <w:pPr>
      <w:jc w:val="center"/>
      <w:spacing w:before="100" w:beforeAutospacing="1" w:after="100" w:afterAutospacing="1"/>
      <w:pBdr>
        <w:left w:val="single" w:color="000000" w:sz="4" w:space="0"/>
      </w:pBdr>
    </w:pPr>
    <w:rPr>
      <w:b/>
      <w:bCs/>
      <w:sz w:val="24"/>
      <w:szCs w:val="24"/>
    </w:rPr>
  </w:style>
  <w:style w:type="paragraph" w:styleId="1029">
    <w:name w:val="xl108"/>
    <w:basedOn w:val="918"/>
    <w:next w:val="1029"/>
    <w:link w:val="918"/>
    <w:pPr>
      <w:jc w:val="center"/>
      <w:spacing w:before="100" w:beforeAutospacing="1" w:after="100" w:afterAutospacing="1"/>
      <w:pBdr>
        <w:top w:val="single" w:color="000000" w:sz="4" w:space="0"/>
      </w:pBdr>
    </w:pPr>
    <w:rPr>
      <w:b/>
      <w:bCs/>
      <w:sz w:val="24"/>
      <w:szCs w:val="24"/>
    </w:rPr>
  </w:style>
  <w:style w:type="paragraph" w:styleId="1030">
    <w:name w:val="xl109"/>
    <w:basedOn w:val="918"/>
    <w:next w:val="1030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1">
    <w:name w:val="xl110"/>
    <w:basedOn w:val="918"/>
    <w:next w:val="1031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2">
    <w:name w:val="xl111"/>
    <w:basedOn w:val="918"/>
    <w:next w:val="1032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24"/>
      <w:szCs w:val="24"/>
    </w:rPr>
  </w:style>
  <w:style w:type="paragraph" w:styleId="1033">
    <w:name w:val="xl112"/>
    <w:basedOn w:val="918"/>
    <w:next w:val="1033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4">
    <w:name w:val="xl113"/>
    <w:basedOn w:val="918"/>
    <w:next w:val="1034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5">
    <w:name w:val="xl114"/>
    <w:basedOn w:val="918"/>
    <w:next w:val="1035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36">
    <w:name w:val="xl115"/>
    <w:basedOn w:val="918"/>
    <w:next w:val="1036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7">
    <w:name w:val="xl116"/>
    <w:basedOn w:val="918"/>
    <w:next w:val="1037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38">
    <w:name w:val="xl117"/>
    <w:basedOn w:val="918"/>
    <w:next w:val="1038"/>
    <w:link w:val="918"/>
    <w:pPr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styleId="1039">
    <w:name w:val="xl118"/>
    <w:basedOn w:val="918"/>
    <w:next w:val="1039"/>
    <w:link w:val="918"/>
    <w:pPr>
      <w:spacing w:before="100" w:beforeAutospacing="1" w:after="100" w:afterAutospacing="1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0">
    <w:name w:val="xl119"/>
    <w:basedOn w:val="918"/>
    <w:next w:val="1040"/>
    <w:link w:val="91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1041">
    <w:name w:val="xl120"/>
    <w:basedOn w:val="918"/>
    <w:next w:val="1041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2">
    <w:name w:val="xl121"/>
    <w:basedOn w:val="918"/>
    <w:next w:val="1042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3">
    <w:name w:val="xl122"/>
    <w:basedOn w:val="918"/>
    <w:next w:val="1043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4">
    <w:name w:val="xl123"/>
    <w:basedOn w:val="918"/>
    <w:next w:val="1044"/>
    <w:link w:val="918"/>
    <w:pPr>
      <w:jc w:val="center"/>
      <w:spacing w:before="100" w:beforeAutospacing="1" w:after="100" w:afterAutospacing="1"/>
      <w:pBdr>
        <w:top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5">
    <w:name w:val="xl124"/>
    <w:basedOn w:val="918"/>
    <w:next w:val="1045"/>
    <w:link w:val="918"/>
    <w:pPr>
      <w:jc w:val="center"/>
      <w:spacing w:before="100" w:beforeAutospacing="1" w:after="100" w:afterAutospacing="1"/>
      <w:pBdr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46">
    <w:name w:val="xl125"/>
    <w:basedOn w:val="918"/>
    <w:next w:val="1046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color w:val="000000"/>
      <w:sz w:val="24"/>
      <w:szCs w:val="24"/>
    </w:rPr>
  </w:style>
  <w:style w:type="paragraph" w:styleId="1047">
    <w:name w:val="xl126"/>
    <w:basedOn w:val="918"/>
    <w:next w:val="1047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48">
    <w:name w:val="xl127"/>
    <w:basedOn w:val="918"/>
    <w:next w:val="1048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49">
    <w:name w:val="xl128"/>
    <w:basedOn w:val="918"/>
    <w:next w:val="1049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0">
    <w:name w:val="xl129"/>
    <w:basedOn w:val="918"/>
    <w:next w:val="1050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sz w:val="24"/>
      <w:szCs w:val="24"/>
    </w:rPr>
  </w:style>
  <w:style w:type="paragraph" w:styleId="1051">
    <w:name w:val="xl130"/>
    <w:basedOn w:val="918"/>
    <w:next w:val="1051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2">
    <w:name w:val="xl131"/>
    <w:basedOn w:val="918"/>
    <w:next w:val="1052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3">
    <w:name w:val="xl132"/>
    <w:basedOn w:val="918"/>
    <w:next w:val="1053"/>
    <w:link w:val="918"/>
    <w:pPr>
      <w:jc w:val="right"/>
      <w:spacing w:before="100" w:beforeAutospacing="1" w:after="100" w:afterAutospacing="1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4">
    <w:name w:val="xl133"/>
    <w:basedOn w:val="918"/>
    <w:next w:val="1054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5">
    <w:name w:val="xl134"/>
    <w:basedOn w:val="918"/>
    <w:next w:val="1055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6">
    <w:name w:val="xl135"/>
    <w:basedOn w:val="918"/>
    <w:next w:val="1056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57">
    <w:name w:val="xl136"/>
    <w:basedOn w:val="918"/>
    <w:next w:val="1057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58">
    <w:name w:val="xl137"/>
    <w:basedOn w:val="918"/>
    <w:next w:val="1058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59">
    <w:name w:val="xl138"/>
    <w:basedOn w:val="918"/>
    <w:next w:val="1059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0">
    <w:name w:val="xl139"/>
    <w:basedOn w:val="918"/>
    <w:next w:val="1060"/>
    <w:link w:val="918"/>
    <w:pPr>
      <w:jc w:val="right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1">
    <w:name w:val="xl140"/>
    <w:basedOn w:val="918"/>
    <w:next w:val="1061"/>
    <w:link w:val="918"/>
    <w:pPr>
      <w:jc w:val="right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sz w:val="24"/>
      <w:szCs w:val="24"/>
    </w:rPr>
  </w:style>
  <w:style w:type="paragraph" w:styleId="1062">
    <w:name w:val="xl141"/>
    <w:basedOn w:val="918"/>
    <w:next w:val="1062"/>
    <w:link w:val="918"/>
    <w:pPr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Arial" w:hAnsi="Arial" w:cs="Arial"/>
      <w:b/>
      <w:bCs/>
      <w:sz w:val="24"/>
      <w:szCs w:val="24"/>
    </w:rPr>
  </w:style>
  <w:style w:type="paragraph" w:styleId="1063">
    <w:name w:val="xl142"/>
    <w:basedOn w:val="918"/>
    <w:next w:val="1063"/>
    <w:link w:val="918"/>
    <w:pPr>
      <w:jc w:val="right"/>
      <w:spacing w:before="100" w:beforeAutospacing="1" w:after="100" w:afterAutospacing="1"/>
    </w:pPr>
    <w:rPr>
      <w:sz w:val="24"/>
      <w:szCs w:val="24"/>
    </w:rPr>
  </w:style>
  <w:style w:type="paragraph" w:styleId="1064">
    <w:name w:val="xl143"/>
    <w:basedOn w:val="918"/>
    <w:next w:val="1064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5">
    <w:name w:val="xl144"/>
    <w:basedOn w:val="918"/>
    <w:next w:val="1065"/>
    <w:link w:val="918"/>
    <w:pPr>
      <w:jc w:val="center"/>
      <w:spacing w:before="100" w:beforeAutospacing="1" w:after="100" w:afterAutospacing="1"/>
    </w:pPr>
    <w:rPr>
      <w:b/>
      <w:bCs/>
      <w:sz w:val="24"/>
      <w:szCs w:val="24"/>
    </w:rPr>
  </w:style>
  <w:style w:type="paragraph" w:styleId="1066">
    <w:name w:val="xl145"/>
    <w:basedOn w:val="918"/>
    <w:next w:val="1066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b/>
      <w:bCs/>
      <w:sz w:val="24"/>
      <w:szCs w:val="24"/>
    </w:rPr>
  </w:style>
  <w:style w:type="paragraph" w:styleId="1067">
    <w:name w:val="xl146"/>
    <w:basedOn w:val="918"/>
    <w:next w:val="1067"/>
    <w:link w:val="918"/>
    <w:pPr>
      <w:jc w:val="center"/>
      <w:spacing w:before="100" w:beforeAutospacing="1" w:after="100" w:afterAutospacing="1"/>
      <w:pBdr>
        <w:top w:val="single" w:color="000000" w:sz="4" w:space="0"/>
        <w:bottom w:val="single" w:color="000000" w:sz="4" w:space="0"/>
      </w:pBdr>
    </w:pPr>
    <w:rPr>
      <w:b/>
      <w:bCs/>
      <w:sz w:val="24"/>
      <w:szCs w:val="24"/>
    </w:rPr>
  </w:style>
  <w:style w:type="paragraph" w:styleId="1068">
    <w:name w:val="xl147"/>
    <w:basedOn w:val="918"/>
    <w:next w:val="1068"/>
    <w:link w:val="918"/>
    <w:pPr>
      <w:jc w:val="right"/>
      <w:spacing w:before="100" w:beforeAutospacing="1" w:after="100" w:afterAutospacing="1"/>
      <w:shd w:val="clear" w:color="000000" w:fill="ffffff"/>
    </w:pPr>
    <w:rPr>
      <w:rFonts w:ascii="Arial" w:hAnsi="Arial" w:cs="Arial"/>
      <w:sz w:val="24"/>
      <w:szCs w:val="24"/>
    </w:rPr>
  </w:style>
  <w:style w:type="paragraph" w:styleId="1069">
    <w:name w:val="xl148"/>
    <w:basedOn w:val="918"/>
    <w:next w:val="1069"/>
    <w:link w:val="918"/>
    <w:pPr>
      <w:jc w:val="right"/>
      <w:spacing w:before="100" w:beforeAutospacing="1" w:after="100" w:afterAutospacing="1"/>
      <w:shd w:val="clear" w:color="000000" w:fill="ffffff"/>
    </w:pPr>
    <w:rPr>
      <w:sz w:val="24"/>
      <w:szCs w:val="24"/>
    </w:rPr>
  </w:style>
  <w:style w:type="paragraph" w:styleId="1070">
    <w:name w:val="xl65"/>
    <w:basedOn w:val="918"/>
    <w:next w:val="1070"/>
    <w:link w:val="918"/>
    <w:pPr>
      <w:jc w:val="center"/>
      <w:spacing w:before="100" w:beforeAutospacing="1" w:after="100" w:afterAutospacing="1"/>
      <w:pBdr>
        <w:top w:val="single" w:color="000000" w:sz="4" w:space="0"/>
        <w:left w:val="single" w:color="000000" w:sz="4" w:space="0"/>
      </w:pBdr>
    </w:pPr>
    <w:rPr>
      <w:b/>
      <w:bCs/>
      <w:sz w:val="18"/>
      <w:szCs w:val="18"/>
    </w:rPr>
  </w:style>
  <w:style w:type="character" w:styleId="1071" w:default="1">
    <w:name w:val="Default Paragraph Font"/>
    <w:uiPriority w:val="1"/>
    <w:semiHidden/>
    <w:unhideWhenUsed/>
  </w:style>
  <w:style w:type="numbering" w:styleId="1072" w:default="1">
    <w:name w:val="No List"/>
    <w:uiPriority w:val="99"/>
    <w:semiHidden/>
    <w:unhideWhenUsed/>
  </w:style>
  <w:style w:type="table" w:styleId="107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Р7-Офис/7.2.2.36</Application>
  <Company>MFNSO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00020203000000000151</dc:title>
  <dc:creator>g.kibal</dc:creator>
  <cp:revision>24</cp:revision>
  <dcterms:created xsi:type="dcterms:W3CDTF">2022-02-08T09:52:00Z</dcterms:created>
  <dcterms:modified xsi:type="dcterms:W3CDTF">2024-07-19T08:30:11Z</dcterms:modified>
  <cp:version>1048576</cp:version>
</cp:coreProperties>
</file>